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3E8" w:rsidRPr="002913E8" w:rsidRDefault="002913E8" w:rsidP="002913E8">
      <w:pPr>
        <w:widowControl/>
        <w:shd w:val="clear" w:color="auto" w:fill="FFFFFF"/>
        <w:spacing w:line="630" w:lineRule="atLeast"/>
        <w:jc w:val="center"/>
        <w:rPr>
          <w:rFonts w:ascii="微软雅黑" w:eastAsia="微软雅黑" w:hAnsi="微软雅黑" w:cs="宋体"/>
          <w:b/>
          <w:color w:val="333333"/>
          <w:kern w:val="0"/>
          <w:sz w:val="27"/>
          <w:szCs w:val="27"/>
        </w:rPr>
      </w:pPr>
      <w:r w:rsidRPr="002913E8">
        <w:rPr>
          <w:rFonts w:ascii="微软雅黑" w:eastAsia="微软雅黑" w:hAnsi="微软雅黑" w:cs="宋体" w:hint="eastAsia"/>
          <w:b/>
          <w:color w:val="333333"/>
          <w:kern w:val="0"/>
          <w:sz w:val="27"/>
          <w:szCs w:val="27"/>
        </w:rPr>
        <w:t>中国共产党重大事项请示报告条例</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第一章 总则</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第一条</w:t>
      </w:r>
      <w:r w:rsidRPr="002913E8">
        <w:rPr>
          <w:rFonts w:ascii="微软雅黑" w:eastAsia="微软雅黑" w:hAnsi="微软雅黑" w:cs="宋体" w:hint="eastAsia"/>
          <w:color w:val="333333"/>
          <w:kern w:val="0"/>
          <w:sz w:val="27"/>
          <w:szCs w:val="27"/>
        </w:rPr>
        <w:t xml:space="preserve"> 为了加强和规范重大事项请示报告工作，严明党的政治纪律、组织纪律和工作纪律，保证全党全国服从党中央、政令畅通，根据《中国共产党章程》、《关于新形势下党内政治生活的若干准则》等党内法规，制定本条例。</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第二条</w:t>
      </w:r>
      <w:r w:rsidRPr="002913E8">
        <w:rPr>
          <w:rFonts w:ascii="微软雅黑" w:eastAsia="微软雅黑" w:hAnsi="微软雅黑" w:cs="宋体" w:hint="eastAsia"/>
          <w:color w:val="333333"/>
          <w:kern w:val="0"/>
          <w:sz w:val="27"/>
          <w:szCs w:val="27"/>
        </w:rPr>
        <w:t xml:space="preserve"> 重大事项请示报告工作以习近平新时代中国特色社会主义思想为指导，坚持和加强党的全面领导，坚持党要管党、全面从严治党，贯彻民主集中制，坚决维护习近平总书记党中央的核心、全党的核心地位，坚决维护党中央权威和集中统一领导，保证全党团结统一和行动一致，确保党始终总揽全局、协调各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第三条</w:t>
      </w:r>
      <w:r w:rsidRPr="002913E8">
        <w:rPr>
          <w:rFonts w:ascii="微软雅黑" w:eastAsia="微软雅黑" w:hAnsi="微软雅黑" w:cs="宋体" w:hint="eastAsia"/>
          <w:color w:val="333333"/>
          <w:kern w:val="0"/>
          <w:sz w:val="27"/>
          <w:szCs w:val="27"/>
        </w:rPr>
        <w:t xml:space="preserve"> 本条例适用于下级党组织向上级党组织，以及党员、领导干部向党组织请示报告重大事项相关活动。</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本条例所称重大事项，是指超出党组织和党员、领导干部自身职权范围，或者虽在自身职权范围内但关乎全局、影响广泛的重要事情和重要情况，包括党组织贯彻执行党中央决策部署和上级党组织决定、领导经济社会发展事务、落实全面从严治党责任，党员履行义务、行使权利，领导干部行使权力、担负责任的重要事情和重要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本条例所称请示，是指下级党组织向上级党组织，党员、领导干部向党组织就重大事项请求指示或者批准；所称报告，是指下级党组织向上级党组织，党员、领导干部向党组织呈报重要事情和重要情况。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第四条</w:t>
      </w:r>
      <w:r w:rsidRPr="002913E8">
        <w:rPr>
          <w:rFonts w:ascii="微软雅黑" w:eastAsia="微软雅黑" w:hAnsi="微软雅黑" w:cs="宋体" w:hint="eastAsia"/>
          <w:color w:val="333333"/>
          <w:kern w:val="0"/>
          <w:sz w:val="27"/>
          <w:szCs w:val="27"/>
        </w:rPr>
        <w:t xml:space="preserve"> 开展重大事项请示报告工作应当遵循以下原则：</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（一）坚持政治导向。树牢“四个意识”，落实“四个服从”，把请示报告作为重要政治纪律和政治规矩，把讲政治要求贯彻到请示报告工作全过程和各方面。</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（二）坚持权责明晰。既牢记授权有限，该请示的必须请示，该报告的必须报告；又牢记守土有责，该负责的必须负责，该担当的必须担当。</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（三）坚持客观真实。全面如实请示报告工作、反映情况、分析问题、提出建议，既报喜又报忧、既报功又报过、既报结果又报过程。</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（四）坚持规范有序。落实依规治党要求，严格按照党章党规规定的主体、范围、程序和方式开展重大事项请示报告工作。</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第五条</w:t>
      </w:r>
      <w:r w:rsidRPr="002913E8">
        <w:rPr>
          <w:rFonts w:ascii="微软雅黑" w:eastAsia="微软雅黑" w:hAnsi="微软雅黑" w:cs="宋体" w:hint="eastAsia"/>
          <w:color w:val="333333"/>
          <w:kern w:val="0"/>
          <w:sz w:val="27"/>
          <w:szCs w:val="27"/>
        </w:rPr>
        <w:t xml:space="preserve"> 各地区各部门党组织承担重大事项请示报告工作主体责任，党组织主要负责同志为第一责任人，对请示报告工作负总责。</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中央办公厅负责接受办理向党中央请示报告的重大事项，并统筹协调和督促指导各地区各部门向党中央的请示报告工作。地方党委办公厅</w:t>
      </w:r>
      <w:r w:rsidRPr="002913E8">
        <w:rPr>
          <w:rFonts w:ascii="微软雅黑" w:eastAsia="微软雅黑" w:hAnsi="微软雅黑" w:cs="宋体" w:hint="eastAsia"/>
          <w:color w:val="333333"/>
          <w:kern w:val="0"/>
          <w:sz w:val="27"/>
          <w:szCs w:val="27"/>
        </w:rPr>
        <w:lastRenderedPageBreak/>
        <w:t>（室）负责接受办理向本级党委请示报告的重大事项，并统筹协调和督促指导本地区的请示报告工作。</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第二章 党组织请示报告主体</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第六条</w:t>
      </w:r>
      <w:r w:rsidRPr="002913E8">
        <w:rPr>
          <w:rFonts w:ascii="微软雅黑" w:eastAsia="微软雅黑" w:hAnsi="微软雅黑" w:cs="宋体" w:hint="eastAsia"/>
          <w:color w:val="333333"/>
          <w:kern w:val="0"/>
          <w:sz w:val="27"/>
          <w:szCs w:val="27"/>
        </w:rPr>
        <w:t xml:space="preserve"> 党组织请示报告工作一般应当以组织名义进行，向负有领导或者监督指导职责的上级党组织请示报告。特殊情况下，可以根据工作需要以党组织负责同志名义代表党组织请示报告。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请示报告应当逐级进行，一般不得越级请示报告。特殊情况下，可以按照有关规定直接向更高层级党组织请示报告。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第七条</w:t>
      </w:r>
      <w:r w:rsidRPr="002913E8">
        <w:rPr>
          <w:rFonts w:ascii="微软雅黑" w:eastAsia="微软雅黑" w:hAnsi="微软雅黑" w:cs="宋体" w:hint="eastAsia"/>
          <w:color w:val="333333"/>
          <w:kern w:val="0"/>
          <w:sz w:val="27"/>
          <w:szCs w:val="27"/>
        </w:rPr>
        <w:t xml:space="preserve"> 接受双重领导的单位党组织，应当根据事项性质和内容向负有主要领导职责的上级党组织请示报告，同时抄送另一个上级党组织。特殊情况下，可以不抄送另一个上级党组织。</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第八条</w:t>
      </w:r>
      <w:r w:rsidRPr="002913E8">
        <w:rPr>
          <w:rFonts w:ascii="微软雅黑" w:eastAsia="微软雅黑" w:hAnsi="微软雅黑" w:cs="宋体" w:hint="eastAsia"/>
          <w:color w:val="333333"/>
          <w:kern w:val="0"/>
          <w:sz w:val="27"/>
          <w:szCs w:val="27"/>
        </w:rPr>
        <w:t xml:space="preserve"> 接受归口领导、管理的单位党组织，必须服从批准其设立的党组织的领导，向其请示报告工作，并按照有关规定向归口领导、管理单位党组织请示报告。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第九条</w:t>
      </w:r>
      <w:r w:rsidRPr="002913E8">
        <w:rPr>
          <w:rFonts w:ascii="微软雅黑" w:eastAsia="微软雅黑" w:hAnsi="微软雅黑" w:cs="宋体" w:hint="eastAsia"/>
          <w:color w:val="333333"/>
          <w:kern w:val="0"/>
          <w:sz w:val="27"/>
          <w:szCs w:val="27"/>
        </w:rPr>
        <w:t xml:space="preserve"> 接受归口指导、协调或者监督的单位党组织，向上级党组织请示报告一般应当抄送负有指导、协调或者监督职责的单位党组织。</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负有指导、协调或者监督职责的单位党组织应当统筹所负责区域、领域、行业、系统内各单位党组织的请示报告工作，归口统一向上级党组织请示报告总体情况、牵头事项完成情况等。</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第十条</w:t>
      </w:r>
      <w:r w:rsidRPr="002913E8">
        <w:rPr>
          <w:rFonts w:ascii="微软雅黑" w:eastAsia="微软雅黑" w:hAnsi="微软雅黑" w:cs="宋体" w:hint="eastAsia"/>
          <w:color w:val="333333"/>
          <w:kern w:val="0"/>
          <w:sz w:val="27"/>
          <w:szCs w:val="27"/>
        </w:rPr>
        <w:t xml:space="preserve"> 涉及跨区域、跨领域、跨行业、跨系统的重大事项，应当由有关党组织向共同上级党组织联合请示报告。联合请示报告应当明确牵头党组织。</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党政机关联合请示报告的，一般应当将上级党政机关同时列为请示报告对象。</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第十一条</w:t>
      </w:r>
      <w:r w:rsidRPr="002913E8">
        <w:rPr>
          <w:rFonts w:ascii="微软雅黑" w:eastAsia="微软雅黑" w:hAnsi="微软雅黑" w:cs="宋体" w:hint="eastAsia"/>
          <w:color w:val="333333"/>
          <w:kern w:val="0"/>
          <w:sz w:val="27"/>
          <w:szCs w:val="27"/>
        </w:rPr>
        <w:t xml:space="preserve"> 根据党内法规制度规定，党的决策议事协调机构和党的工作机关可以在其职权范围内接受下级党组织的请示报告并作出处理。</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党组织主要负责同志可以就全面工作或者某些方面工作接受下级党组织请示报告；有关负责同志可以就分管领域工作接受下级党组织请示报告，也可以受党组织或者党组织主要负责同志委托，就全面工作接受下级党组织请示报告。</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第三章 党组织请示报告事项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第十二条</w:t>
      </w:r>
      <w:r w:rsidRPr="002913E8">
        <w:rPr>
          <w:rFonts w:ascii="微软雅黑" w:eastAsia="微软雅黑" w:hAnsi="微软雅黑" w:cs="宋体" w:hint="eastAsia"/>
          <w:color w:val="333333"/>
          <w:kern w:val="0"/>
          <w:sz w:val="27"/>
          <w:szCs w:val="27"/>
        </w:rPr>
        <w:t xml:space="preserve"> 涉及党和国家工作全局的重大方针政策，经济、政治、文化、社会、生态文明建设和党的建设中的重大原则和问题，国家安全、港澳台侨、外交、国防、军队等党中央集中统一管理的事项，以及其他只能由党中央领导和决策的重大事项，必须向党中央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w:t>
      </w:r>
      <w:r w:rsidRPr="002913E8">
        <w:rPr>
          <w:rFonts w:ascii="微软雅黑" w:eastAsia="微软雅黑" w:hAnsi="微软雅黑" w:cs="宋体" w:hint="eastAsia"/>
          <w:b/>
          <w:bCs/>
          <w:color w:val="333333"/>
          <w:kern w:val="0"/>
          <w:sz w:val="27"/>
        </w:rPr>
        <w:t>第十三条</w:t>
      </w:r>
      <w:r w:rsidRPr="002913E8">
        <w:rPr>
          <w:rFonts w:ascii="微软雅黑" w:eastAsia="微软雅黑" w:hAnsi="微软雅黑" w:cs="宋体" w:hint="eastAsia"/>
          <w:color w:val="333333"/>
          <w:kern w:val="0"/>
          <w:sz w:val="27"/>
          <w:szCs w:val="27"/>
        </w:rPr>
        <w:t xml:space="preserve"> 党组织应当向上级党组织请示下列事项：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（一）贯彻落实党中央决策部署和上级党组织决定中的重要情况和问题，需要作出调整的政策措施，需要支持解决的特殊困难；</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（二）重大改革措施、重大立法事项、重大体制变动、重大项目推进、重大突发事件、重大机构调整、重要干部任免、重要表彰奖励、重大违纪违法和复杂敏感案件处理等；</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（三）明确规定需要请示的重要会议、重要活动、重要文件等；</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（四）重大活动、重要政策的宣传报道口径，新闻宣传和意识形态工作中的全局性问题和不易把握的问题；</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（五）出台重大创新举措，特别是遇到新情况新问题且无明文规定、需要先行先试，或者创新举措可能与现行规定相冲突、需经授权才能实施的情况；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（六）属于自身职权范围内但事关重大或者特殊敏感的事项；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（七）重大决策时存在较大意见分歧的情况；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（八）跨区域、跨领域、跨行业、跨系统工作中需要上级党组织统筹推进的重大事项；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（九）调整上级党组织文件、会议精神的传达知悉范围，使用上级党组织负责同志未公开的讲话、音像资料等；</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（十）其他应当请示的重大事项。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下列事项不必向上级党组织请示：属于自身职权范围内的日常工作；上级党组织就有关问题已经作出明确批复的；事后报告即可的事项等。</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第十四条</w:t>
      </w:r>
      <w:r w:rsidRPr="002913E8">
        <w:rPr>
          <w:rFonts w:ascii="微软雅黑" w:eastAsia="微软雅黑" w:hAnsi="微软雅黑" w:cs="宋体" w:hint="eastAsia"/>
          <w:color w:val="333333"/>
          <w:kern w:val="0"/>
          <w:sz w:val="27"/>
          <w:szCs w:val="27"/>
        </w:rPr>
        <w:t xml:space="preserve"> 党组织应当向上级党组织报告下列事项：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（一）学习贯彻习近平新时代中国特色社会主义思想，统筹推进“五位一体”总体布局和协调推进“四个全面”战略布局的重要情况；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（二）党中央以及上级党组织重要会议、重要文件、重大决策部署贯彻落实情况，习近平总书记重要指示批示贯彻落实情况，上级党组织负责同志交办事项的研究办理情况；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加强党的建设，履行全面从严治党责任，包括集中学习教育活动、意识形态工作、党组织设置及隶属关系调整、民主生活会、党风廉政建设、落实中央八项规定精神、党员干部直接联系群众、巡视巡察整改、发现重大违纪违法问题等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（四）全面工作总结和计划；</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（五）重大专项工作开展情况；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（六）重大敏感事件、突发事件和群体性事件应对处置情况；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（七）经济社会发展中出现的重要情况和重大舆情；</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（八）本地区、本部门、本单位工作中具有在更大范围推广价值的经验做法和意见建议；</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（九）其他应当报告的重大事项。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下列事项不必向上级党组织报告：具体事务性工作；没有实质性内容的表态和情况反映等。</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第十五条</w:t>
      </w:r>
      <w:r w:rsidRPr="002913E8">
        <w:rPr>
          <w:rFonts w:ascii="微软雅黑" w:eastAsia="微软雅黑" w:hAnsi="微软雅黑" w:cs="宋体" w:hint="eastAsia"/>
          <w:color w:val="333333"/>
          <w:kern w:val="0"/>
          <w:sz w:val="27"/>
          <w:szCs w:val="27"/>
        </w:rPr>
        <w:t xml:space="preserve"> 党组织应当按照有关规定向上级党组织报备下列事项：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（一）党内法规和规范性文件；</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（二）领导班子成员分工；</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（三）有关干部任免；</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（四）党委委员、候补委员职务的辞去、免去或者自动终止；</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（五）其他应当报备的重大事项。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第十六条</w:t>
      </w:r>
      <w:r w:rsidRPr="002913E8">
        <w:rPr>
          <w:rFonts w:ascii="微软雅黑" w:eastAsia="微软雅黑" w:hAnsi="微软雅黑" w:cs="宋体" w:hint="eastAsia"/>
          <w:color w:val="333333"/>
          <w:kern w:val="0"/>
          <w:sz w:val="27"/>
          <w:szCs w:val="27"/>
        </w:rPr>
        <w:t xml:space="preserve"> 中央各决策议事协调机构、中央各部门、有关中央国家机关党组（党委）应当对本领域、行业、系统内请示报告的具体事项提出明确要求、加强工作指导。</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上级党组织应当从实际出发，对下级党组织请示报告中主题相近、内容关联的同类事项归并整合提出要求，促使请示报告精简务实。</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第十七条</w:t>
      </w:r>
      <w:r w:rsidRPr="002913E8">
        <w:rPr>
          <w:rFonts w:ascii="微软雅黑" w:eastAsia="微软雅黑" w:hAnsi="微软雅黑" w:cs="宋体" w:hint="eastAsia"/>
          <w:color w:val="333333"/>
          <w:kern w:val="0"/>
          <w:sz w:val="27"/>
          <w:szCs w:val="27"/>
        </w:rPr>
        <w:t xml:space="preserve"> 党组织应当根据本条例规定的请示报告事项范围和内容，结合上级要求和自身实际，制定请示报告事项清单。</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第四章 党组织请示报告程序</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第十八条</w:t>
      </w:r>
      <w:r w:rsidRPr="002913E8">
        <w:rPr>
          <w:rFonts w:ascii="微软雅黑" w:eastAsia="微软雅黑" w:hAnsi="微软雅黑" w:cs="宋体" w:hint="eastAsia"/>
          <w:color w:val="333333"/>
          <w:kern w:val="0"/>
          <w:sz w:val="27"/>
          <w:szCs w:val="27"/>
        </w:rPr>
        <w:t xml:space="preserve"> 重大事项请示报告一般应当经党组织领导班子集体研究或者传批审定，由主要负责同志签发或者作出。必要时应当事先报上级党组织分管负责同志同意。</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两个以上党组织联合请示报告的，应当协商一致后呈报。未取得一致意见的，应当对有关情况作出说明。</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第十九条</w:t>
      </w:r>
      <w:r w:rsidRPr="002913E8">
        <w:rPr>
          <w:rFonts w:ascii="微软雅黑" w:eastAsia="微软雅黑" w:hAnsi="微软雅黑" w:cs="宋体" w:hint="eastAsia"/>
          <w:color w:val="333333"/>
          <w:kern w:val="0"/>
          <w:sz w:val="27"/>
          <w:szCs w:val="27"/>
        </w:rPr>
        <w:t xml:space="preserve"> 向上级党组织请示重大事项，必须事前请示，给上级党组织以充足研判和决策时间。情况紧急来不及请示必须临机处置的，应当按照规定履职尽责，并及时进行后续请示报告。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定期报告按照规定的时间进行。专题报告根据工作进展情况适时进行，学习贯彻上级党组织重要会议和文件精神的专题报告应当注重反映落实见效情况，不得一味求快。对上级党组织交办的重大事项，应当按照时限要求报告。突发性重大事件应当及时报告，并根据事件发展处置情况做好续报工作。</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w:t>
      </w:r>
      <w:r w:rsidRPr="002913E8">
        <w:rPr>
          <w:rFonts w:ascii="微软雅黑" w:eastAsia="微软雅黑" w:hAnsi="微软雅黑" w:cs="宋体" w:hint="eastAsia"/>
          <w:b/>
          <w:bCs/>
          <w:color w:val="333333"/>
          <w:kern w:val="0"/>
          <w:sz w:val="27"/>
        </w:rPr>
        <w:t>第二十条</w:t>
      </w:r>
      <w:r w:rsidRPr="002913E8">
        <w:rPr>
          <w:rFonts w:ascii="微软雅黑" w:eastAsia="微软雅黑" w:hAnsi="微软雅黑" w:cs="宋体" w:hint="eastAsia"/>
          <w:color w:val="333333"/>
          <w:kern w:val="0"/>
          <w:sz w:val="27"/>
          <w:szCs w:val="27"/>
        </w:rPr>
        <w:t xml:space="preserve"> 提出请示应当阐明请求事项及相关理由。报送请示应当一文一事，不得在报告等非请示性公文中夹带请示事项。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对下级党组织请示的重大事项，受理党组织如需以其名义再向上级党组织请示的，应当认真研究并负责任地提出处理建议，不得只将原文转请示上级党组织。</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第二十一条</w:t>
      </w:r>
      <w:r w:rsidRPr="002913E8">
        <w:rPr>
          <w:rFonts w:ascii="微软雅黑" w:eastAsia="微软雅黑" w:hAnsi="微软雅黑" w:cs="宋体" w:hint="eastAsia"/>
          <w:color w:val="333333"/>
          <w:kern w:val="0"/>
          <w:sz w:val="27"/>
          <w:szCs w:val="27"/>
        </w:rPr>
        <w:t xml:space="preserve"> 上级党组织收到请示后，一般由综合部门提出拟办意见报党组织负责同志按照规定批办。</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党政机关联合提出的请示，由上级党组织牵头办理。</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第二十二条</w:t>
      </w:r>
      <w:r w:rsidRPr="002913E8">
        <w:rPr>
          <w:rFonts w:ascii="微软雅黑" w:eastAsia="微软雅黑" w:hAnsi="微软雅黑" w:cs="宋体" w:hint="eastAsia"/>
          <w:color w:val="333333"/>
          <w:kern w:val="0"/>
          <w:sz w:val="27"/>
          <w:szCs w:val="27"/>
        </w:rPr>
        <w:t xml:space="preserve"> 上级党组织对受理的紧急请示事项应当尽快办理。有明确办理时限要求的应当在规定期限内办理完毕，确有特殊情况无法在规定期限内办理完毕的，应当主动向下级党组织说明情况。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第二十三条</w:t>
      </w:r>
      <w:r w:rsidRPr="002913E8">
        <w:rPr>
          <w:rFonts w:ascii="微软雅黑" w:eastAsia="微软雅黑" w:hAnsi="微软雅黑" w:cs="宋体" w:hint="eastAsia"/>
          <w:color w:val="333333"/>
          <w:kern w:val="0"/>
          <w:sz w:val="27"/>
          <w:szCs w:val="27"/>
        </w:rPr>
        <w:t xml:space="preserve"> 请示的答复一般应当坚持向谁请示由谁答复，特殊情况下受理请示的党组织可以授权党组织有关部门代为答复。</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第二十四条</w:t>
      </w:r>
      <w:r w:rsidRPr="002913E8">
        <w:rPr>
          <w:rFonts w:ascii="微软雅黑" w:eastAsia="微软雅黑" w:hAnsi="微软雅黑" w:cs="宋体" w:hint="eastAsia"/>
          <w:color w:val="333333"/>
          <w:kern w:val="0"/>
          <w:sz w:val="27"/>
          <w:szCs w:val="27"/>
        </w:rPr>
        <w:t xml:space="preserve"> 报告应当具有实质性内容和参考价值，有助于上级党组织了解情况、科学决策，力戒空洞无物、评功摆好、搞形式主义。报告应当简明扼要、文风质朴，呈报党中央的综合报告一般在5000字以内，专项报告一般在3000字以内，情况复杂、确有必要详细报告的有关内容可以通过附件反映。</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w:t>
      </w:r>
      <w:r w:rsidRPr="002913E8">
        <w:rPr>
          <w:rFonts w:ascii="微软雅黑" w:eastAsia="微软雅黑" w:hAnsi="微软雅黑" w:cs="宋体" w:hint="eastAsia"/>
          <w:b/>
          <w:bCs/>
          <w:color w:val="333333"/>
          <w:kern w:val="0"/>
          <w:sz w:val="27"/>
        </w:rPr>
        <w:t>第二十五条</w:t>
      </w:r>
      <w:r w:rsidRPr="002913E8">
        <w:rPr>
          <w:rFonts w:ascii="微软雅黑" w:eastAsia="微软雅黑" w:hAnsi="微软雅黑" w:cs="宋体" w:hint="eastAsia"/>
          <w:color w:val="333333"/>
          <w:kern w:val="0"/>
          <w:sz w:val="27"/>
          <w:szCs w:val="27"/>
        </w:rPr>
        <w:t xml:space="preserve"> 上级党组织收到报告后，应当由综合部门根据工作需要报送党组织负责同志阅示。综合部门可以将主题相同、内容相近的报告统一集中报送，或者摘要形成综合材料后报送。</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党组织负责同志对报告作出批示指示的，综合部门应当及时按照要求办理。</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第二十六条</w:t>
      </w:r>
      <w:r w:rsidRPr="002913E8">
        <w:rPr>
          <w:rFonts w:ascii="微软雅黑" w:eastAsia="微软雅黑" w:hAnsi="微软雅黑" w:cs="宋体" w:hint="eastAsia"/>
          <w:color w:val="333333"/>
          <w:kern w:val="0"/>
          <w:sz w:val="27"/>
          <w:szCs w:val="27"/>
        </w:rPr>
        <w:t xml:space="preserve"> 上级党组织应当加强对报告的综合分析利用。对于有推广价值的典型经验做法，可以通过适当形式进行宣传；对于共性问题，应当予以重视并研究解决；对于有价值的意见建议，应当认真研究吸收、推动改进工作。</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第二十七条</w:t>
      </w:r>
      <w:r w:rsidRPr="002913E8">
        <w:rPr>
          <w:rFonts w:ascii="微软雅黑" w:eastAsia="微软雅黑" w:hAnsi="微软雅黑" w:cs="宋体" w:hint="eastAsia"/>
          <w:color w:val="333333"/>
          <w:kern w:val="0"/>
          <w:sz w:val="27"/>
          <w:szCs w:val="27"/>
        </w:rPr>
        <w:t xml:space="preserve"> 重大事项请示报告工作存在可能影响公正办理情形的，有关人员应当回避。</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第五章 党组织请示报告方式</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第二十八条</w:t>
      </w:r>
      <w:r w:rsidRPr="002913E8">
        <w:rPr>
          <w:rFonts w:ascii="微软雅黑" w:eastAsia="微软雅黑" w:hAnsi="微软雅黑" w:cs="宋体" w:hint="eastAsia"/>
          <w:color w:val="333333"/>
          <w:kern w:val="0"/>
          <w:sz w:val="27"/>
          <w:szCs w:val="27"/>
        </w:rPr>
        <w:t xml:space="preserve"> 党组织应当根据重大事项类型和缓急程度采用口头、书面方式进行请示报告。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第二十九条</w:t>
      </w:r>
      <w:r w:rsidRPr="002913E8">
        <w:rPr>
          <w:rFonts w:ascii="微软雅黑" w:eastAsia="微软雅黑" w:hAnsi="微软雅黑" w:cs="宋体" w:hint="eastAsia"/>
          <w:color w:val="333333"/>
          <w:kern w:val="0"/>
          <w:sz w:val="27"/>
          <w:szCs w:val="27"/>
        </w:rPr>
        <w:t xml:space="preserve"> 重大事项请示报告适宜简便进行的，可以采用口头方式。对于情况紧急或者重大事项处理尚处于初步酝酿阶段的，可以采用口头方式先行请示报告，后续再以书面方式补充请示报告。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w:t>
      </w:r>
      <w:r w:rsidRPr="002913E8">
        <w:rPr>
          <w:rFonts w:ascii="微软雅黑" w:eastAsia="微软雅黑" w:hAnsi="微软雅黑" w:cs="宋体" w:hint="eastAsia"/>
          <w:b/>
          <w:bCs/>
          <w:color w:val="333333"/>
          <w:kern w:val="0"/>
          <w:sz w:val="27"/>
        </w:rPr>
        <w:t>第三十条</w:t>
      </w:r>
      <w:r w:rsidRPr="002913E8">
        <w:rPr>
          <w:rFonts w:ascii="微软雅黑" w:eastAsia="微软雅黑" w:hAnsi="微软雅黑" w:cs="宋体" w:hint="eastAsia"/>
          <w:color w:val="333333"/>
          <w:kern w:val="0"/>
          <w:sz w:val="27"/>
          <w:szCs w:val="27"/>
        </w:rPr>
        <w:t xml:space="preserve"> 口头请示报告视情采用通话、当面、会议等方式。内容较为简单或者情况十分紧急的，可以采用通话方式；内容较为复杂或者情况敏感特殊的，可以采用当面方式；内容较为正式或者涉及主体较多的，可以采用会议方式。</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口头请示报告应当做好记录和资料留存，确保有据可查。</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第三十一条</w:t>
      </w:r>
      <w:r w:rsidRPr="002913E8">
        <w:rPr>
          <w:rFonts w:ascii="微软雅黑" w:eastAsia="微软雅黑" w:hAnsi="微软雅黑" w:cs="宋体" w:hint="eastAsia"/>
          <w:color w:val="333333"/>
          <w:kern w:val="0"/>
          <w:sz w:val="27"/>
          <w:szCs w:val="27"/>
        </w:rPr>
        <w:t xml:space="preserve"> 非紧急情况、重大事项处理处于相对成熟阶段或者不适宜简便进行的请示报告，应当采用书面方式。</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第三十二条</w:t>
      </w:r>
      <w:r w:rsidRPr="002913E8">
        <w:rPr>
          <w:rFonts w:ascii="微软雅黑" w:eastAsia="微软雅黑" w:hAnsi="微软雅黑" w:cs="宋体" w:hint="eastAsia"/>
          <w:color w:val="333333"/>
          <w:kern w:val="0"/>
          <w:sz w:val="27"/>
          <w:szCs w:val="27"/>
        </w:rPr>
        <w:t xml:space="preserve"> 书面报告视情采用正式报告、信息、简报等方式。信息侧重于报告重大突发事件，需要注意的问题、现象和情况等，应当做到及时高效、权威准确。简报侧重于报告某方面工作简要情况。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党组织应当统筹用好书面报告方式，坚持“一事不二报”，一般不得就同一内容使用多种方式重复报告。上级党组织明确要求正式报告的，不得以其他方式代替。</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第三十三条</w:t>
      </w:r>
      <w:r w:rsidRPr="002913E8">
        <w:rPr>
          <w:rFonts w:ascii="微软雅黑" w:eastAsia="微软雅黑" w:hAnsi="微软雅黑" w:cs="宋体" w:hint="eastAsia"/>
          <w:color w:val="333333"/>
          <w:kern w:val="0"/>
          <w:sz w:val="27"/>
          <w:szCs w:val="27"/>
        </w:rPr>
        <w:t xml:space="preserve"> 党组织可以利用电话、文件、传真、电报、网络等载体开展请示报告工作。涉密事项应当按照有关保密规定执行。</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基层党组织开展请示报告工作可以更加灵活便捷、突出实效。</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第六章 党员、领导干部请示报告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w:t>
      </w:r>
      <w:r w:rsidRPr="002913E8">
        <w:rPr>
          <w:rFonts w:ascii="微软雅黑" w:eastAsia="微软雅黑" w:hAnsi="微软雅黑" w:cs="宋体" w:hint="eastAsia"/>
          <w:b/>
          <w:bCs/>
          <w:color w:val="333333"/>
          <w:kern w:val="0"/>
          <w:sz w:val="27"/>
        </w:rPr>
        <w:t>第三十四条</w:t>
      </w:r>
      <w:r w:rsidRPr="002913E8">
        <w:rPr>
          <w:rFonts w:ascii="微软雅黑" w:eastAsia="微软雅黑" w:hAnsi="微软雅黑" w:cs="宋体" w:hint="eastAsia"/>
          <w:color w:val="333333"/>
          <w:kern w:val="0"/>
          <w:sz w:val="27"/>
          <w:szCs w:val="27"/>
        </w:rPr>
        <w:t xml:space="preserve"> 党员一般应当向所在党组织请示报告重大事项。领导干部一般应当向所属党组织请示报告重要工作。</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党员、领导干部向党组织请示报告个人有关事项，按照有关规定执行。</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第三十五条</w:t>
      </w:r>
      <w:r w:rsidRPr="002913E8">
        <w:rPr>
          <w:rFonts w:ascii="微软雅黑" w:eastAsia="微软雅黑" w:hAnsi="微软雅黑" w:cs="宋体" w:hint="eastAsia"/>
          <w:color w:val="333333"/>
          <w:kern w:val="0"/>
          <w:sz w:val="27"/>
          <w:szCs w:val="27"/>
        </w:rPr>
        <w:t xml:space="preserve"> 党员应当向党组织请示下列事项：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（一）从事党组织所分配的工作中的重要问题；</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（二）代表党组织发表主张或者作出决定；</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（三）按照规定需要请示的涉外工作交往活动；</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（四）转移党的组织关系；</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（五）其他应当向党组织请示的事项。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第三十六条</w:t>
      </w:r>
      <w:r w:rsidRPr="002913E8">
        <w:rPr>
          <w:rFonts w:ascii="微软雅黑" w:eastAsia="微软雅黑" w:hAnsi="微软雅黑" w:cs="宋体" w:hint="eastAsia"/>
          <w:color w:val="333333"/>
          <w:kern w:val="0"/>
          <w:sz w:val="27"/>
          <w:szCs w:val="27"/>
        </w:rPr>
        <w:t xml:space="preserve"> 党员应当向党组织报告下列事项：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（一）贯彻执行党组织决议以及完成党组织交办工作任务情况；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（二）对党的工作和领导干部的意见建议；</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（三）发现党员、领导干部违纪违法线索情况；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（四）流动外出情况；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（五）其他应当向党组织报告的事项。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第三十七条</w:t>
      </w:r>
      <w:r w:rsidRPr="002913E8">
        <w:rPr>
          <w:rFonts w:ascii="微软雅黑" w:eastAsia="微软雅黑" w:hAnsi="微软雅黑" w:cs="宋体" w:hint="eastAsia"/>
          <w:color w:val="333333"/>
          <w:kern w:val="0"/>
          <w:sz w:val="27"/>
          <w:szCs w:val="27"/>
        </w:rPr>
        <w:t xml:space="preserve"> 领导干部应当向党组织请示下列事项：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（一）超出自身职权范围，应当由所在党组织或者上级党组织作出决定的重大事项；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（二）属于自身职权范围但事关重大的问题和情况；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（三）代表党组织对外发表重要意见；</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（四）因故无法履职或者离开工作所在地；</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（五）其他应当向党组织请示的事项。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第三十八条</w:t>
      </w:r>
      <w:r w:rsidRPr="002913E8">
        <w:rPr>
          <w:rFonts w:ascii="微软雅黑" w:eastAsia="微软雅黑" w:hAnsi="微软雅黑" w:cs="宋体" w:hint="eastAsia"/>
          <w:color w:val="333333"/>
          <w:kern w:val="0"/>
          <w:sz w:val="27"/>
          <w:szCs w:val="27"/>
        </w:rPr>
        <w:t xml:space="preserve"> 领导干部应当向党组织报告下列事项：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（一）学习贯彻习近平新时代中国特色社会主义思想，贯彻落实党中央决策部署和党组织决定中的重要情况和问题；</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（二）遵守政治纪律和政治规矩，坚决维护习近平总书记党中央的核心、全党的核心地位，坚决维护党中央权威和集中统一领导情况；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（三）坚持民主集中制，发扬党内民主，正确行使权力，参与集体领导情况；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（四）参加领导班子民主生活会和所在党支部（党小组）组织生活会情况；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（五）履行管党治党责任，加强党风廉政建设和反腐败工作以及遵守廉洁纪律情况；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（六）重大决策失误或者应对突发事件处置失当，纪检监察、巡视巡察和审计中发现重要问题，以及违纪违法情况；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（七）可能影响正常履职的重大疾病等情况；</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（八）其他应当向党组织报告的事项。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第三十九条</w:t>
      </w:r>
      <w:r w:rsidRPr="002913E8">
        <w:rPr>
          <w:rFonts w:ascii="微软雅黑" w:eastAsia="微软雅黑" w:hAnsi="微软雅黑" w:cs="宋体" w:hint="eastAsia"/>
          <w:color w:val="333333"/>
          <w:kern w:val="0"/>
          <w:sz w:val="27"/>
          <w:szCs w:val="27"/>
        </w:rPr>
        <w:t xml:space="preserve"> 党员、领导干部按照规定采用口头、书面方式进行请示报告。党组织应当及时办理党员、领导干部的请示事项，必要时可以对报告事项作出研究处理。</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第七章 监督与追责</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第四十条</w:t>
      </w:r>
      <w:r w:rsidRPr="002913E8">
        <w:rPr>
          <w:rFonts w:ascii="微软雅黑" w:eastAsia="微软雅黑" w:hAnsi="微软雅黑" w:cs="宋体" w:hint="eastAsia"/>
          <w:color w:val="333333"/>
          <w:kern w:val="0"/>
          <w:sz w:val="27"/>
          <w:szCs w:val="27"/>
        </w:rPr>
        <w:t xml:space="preserve"> 党组织应当将重大事项请示报告工作开展情况纳入向上一级党组织报告工作的重要内容。</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第四十一条</w:t>
      </w:r>
      <w:r w:rsidRPr="002913E8">
        <w:rPr>
          <w:rFonts w:ascii="微软雅黑" w:eastAsia="微软雅黑" w:hAnsi="微软雅黑" w:cs="宋体" w:hint="eastAsia"/>
          <w:color w:val="333333"/>
          <w:kern w:val="0"/>
          <w:sz w:val="27"/>
          <w:szCs w:val="27"/>
        </w:rPr>
        <w:t xml:space="preserve"> 党组织应当建立健全重大事项请示报告工作督查机制，并将执行请示报告制度情况纳入日常监督和巡视巡察范围。</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w:t>
      </w:r>
      <w:r w:rsidRPr="002913E8">
        <w:rPr>
          <w:rFonts w:ascii="微软雅黑" w:eastAsia="微软雅黑" w:hAnsi="微软雅黑" w:cs="宋体" w:hint="eastAsia"/>
          <w:b/>
          <w:bCs/>
          <w:color w:val="333333"/>
          <w:kern w:val="0"/>
          <w:sz w:val="27"/>
        </w:rPr>
        <w:t>第四十二条</w:t>
      </w:r>
      <w:r w:rsidRPr="002913E8">
        <w:rPr>
          <w:rFonts w:ascii="微软雅黑" w:eastAsia="微软雅黑" w:hAnsi="微软雅黑" w:cs="宋体" w:hint="eastAsia"/>
          <w:color w:val="333333"/>
          <w:kern w:val="0"/>
          <w:sz w:val="27"/>
          <w:szCs w:val="27"/>
        </w:rPr>
        <w:t xml:space="preserve"> 党组织应当将重大事项请示报告工作情况作为履行全面从严治党政治责任的重要内容，对下级党组织及其主要负责同志进行考核评价。考核评价可以与党风廉政建设责任制检查考核、党建工作考核等相结合，结果应当以适当方式通报。</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第四十三条</w:t>
      </w:r>
      <w:r w:rsidRPr="002913E8">
        <w:rPr>
          <w:rFonts w:ascii="微软雅黑" w:eastAsia="微软雅黑" w:hAnsi="微软雅黑" w:cs="宋体" w:hint="eastAsia"/>
          <w:color w:val="333333"/>
          <w:kern w:val="0"/>
          <w:sz w:val="27"/>
          <w:szCs w:val="27"/>
        </w:rPr>
        <w:t xml:space="preserve"> 建立健全纠错机制，对于重大事项请示报告工作中出现的主体不适当、内容不准确、程序不规范、方式不合理等问题，上级党组织应当及时提醒纠正，并将有关情况体现到考评通报中。</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第四十四条</w:t>
      </w:r>
      <w:r w:rsidRPr="002913E8">
        <w:rPr>
          <w:rFonts w:ascii="微软雅黑" w:eastAsia="微软雅黑" w:hAnsi="微软雅黑" w:cs="宋体" w:hint="eastAsia"/>
          <w:color w:val="333333"/>
          <w:kern w:val="0"/>
          <w:sz w:val="27"/>
          <w:szCs w:val="27"/>
        </w:rPr>
        <w:t xml:space="preserve"> 实行重大事项请示报告责任追究制度，有下列情形之一的，应当依规依纪追究有关党组织和党员、领导干部以及工作人员的责任，涉嫌违法犯罪的，按照有关法律规定处理：</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（一）违反政治纪律和政治规矩，擅自决定应当由党中央决定的重大事项，损害党中央权威和集中统一领导的；</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（二）履行领导责任不到位，对重大事项请示报告不重视不部署，工作开展不力的；</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（三）违反组织原则，该请示不请示，该报告不报告的；</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（四）缺乏责任担当，推诿塞责、上交矛盾、消极作为的；</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（五）搞形式主义、官僚主义，请示报告内容不实、信息不准，造成严重后果的；</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lastRenderedPageBreak/>
        <w:t xml:space="preserve">　　（六）违反工作要求，不按规定程序和方式请示报告，造成严重后果的；</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（七）其他应当追究责任的情形。</w:t>
      </w:r>
    </w:p>
    <w:p w:rsidR="002913E8" w:rsidRPr="002913E8" w:rsidRDefault="002913E8" w:rsidP="002913E8">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b/>
          <w:bCs/>
          <w:color w:val="333333"/>
          <w:kern w:val="0"/>
          <w:sz w:val="27"/>
        </w:rPr>
        <w:t>第八章 附则</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第四十五条</w:t>
      </w:r>
      <w:r w:rsidRPr="002913E8">
        <w:rPr>
          <w:rFonts w:ascii="微软雅黑" w:eastAsia="微软雅黑" w:hAnsi="微软雅黑" w:cs="宋体" w:hint="eastAsia"/>
          <w:color w:val="333333"/>
          <w:kern w:val="0"/>
          <w:sz w:val="27"/>
          <w:szCs w:val="27"/>
        </w:rPr>
        <w:t xml:space="preserve"> 各省、自治区、直辖市党委，中央各决策议事协调机构，中央各部门，中央国家机关各部委党组（党委），应当紧密结合工作实际制定具体落实措施。</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第四十六条</w:t>
      </w:r>
      <w:r w:rsidRPr="002913E8">
        <w:rPr>
          <w:rFonts w:ascii="微软雅黑" w:eastAsia="微软雅黑" w:hAnsi="微软雅黑" w:cs="宋体" w:hint="eastAsia"/>
          <w:color w:val="333333"/>
          <w:kern w:val="0"/>
          <w:sz w:val="27"/>
          <w:szCs w:val="27"/>
        </w:rPr>
        <w:t xml:space="preserve"> 中央军事委员会可以根据本条例，结合中国人民解放军和中国人民武装警察部队的实际情况，制定相关规定。</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第四十七条</w:t>
      </w:r>
      <w:r w:rsidRPr="002913E8">
        <w:rPr>
          <w:rFonts w:ascii="微软雅黑" w:eastAsia="微软雅黑" w:hAnsi="微软雅黑" w:cs="宋体" w:hint="eastAsia"/>
          <w:color w:val="333333"/>
          <w:kern w:val="0"/>
          <w:sz w:val="27"/>
          <w:szCs w:val="27"/>
        </w:rPr>
        <w:t xml:space="preserve"> 本条例由中央办公厅负责解释。</w:t>
      </w:r>
    </w:p>
    <w:p w:rsidR="002913E8" w:rsidRPr="002913E8" w:rsidRDefault="002913E8" w:rsidP="002913E8">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913E8">
        <w:rPr>
          <w:rFonts w:ascii="微软雅黑" w:eastAsia="微软雅黑" w:hAnsi="微软雅黑" w:cs="宋体" w:hint="eastAsia"/>
          <w:color w:val="333333"/>
          <w:kern w:val="0"/>
          <w:sz w:val="27"/>
          <w:szCs w:val="27"/>
        </w:rPr>
        <w:t xml:space="preserve">　　</w:t>
      </w:r>
      <w:r w:rsidRPr="002913E8">
        <w:rPr>
          <w:rFonts w:ascii="微软雅黑" w:eastAsia="微软雅黑" w:hAnsi="微软雅黑" w:cs="宋体" w:hint="eastAsia"/>
          <w:b/>
          <w:bCs/>
          <w:color w:val="333333"/>
          <w:kern w:val="0"/>
          <w:sz w:val="27"/>
        </w:rPr>
        <w:t>第四十八条</w:t>
      </w:r>
      <w:r w:rsidRPr="002913E8">
        <w:rPr>
          <w:rFonts w:ascii="微软雅黑" w:eastAsia="微软雅黑" w:hAnsi="微软雅黑" w:cs="宋体" w:hint="eastAsia"/>
          <w:color w:val="333333"/>
          <w:kern w:val="0"/>
          <w:sz w:val="27"/>
          <w:szCs w:val="27"/>
        </w:rPr>
        <w:t xml:space="preserve"> 本条例自2019年1月31日起施行。</w:t>
      </w:r>
    </w:p>
    <w:p w:rsidR="00135685" w:rsidRDefault="00135685"/>
    <w:sectPr w:rsidR="00135685" w:rsidSect="0013568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913E8"/>
    <w:rsid w:val="00135685"/>
    <w:rsid w:val="002913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6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913E8"/>
    <w:rPr>
      <w:b/>
      <w:bCs/>
    </w:rPr>
  </w:style>
</w:styles>
</file>

<file path=word/webSettings.xml><?xml version="1.0" encoding="utf-8"?>
<w:webSettings xmlns:r="http://schemas.openxmlformats.org/officeDocument/2006/relationships" xmlns:w="http://schemas.openxmlformats.org/wordprocessingml/2006/main">
  <w:divs>
    <w:div w:id="1371881455">
      <w:bodyDiv w:val="1"/>
      <w:marLeft w:val="0"/>
      <w:marRight w:val="0"/>
      <w:marTop w:val="0"/>
      <w:marBottom w:val="0"/>
      <w:divBdr>
        <w:top w:val="none" w:sz="0" w:space="0" w:color="auto"/>
        <w:left w:val="none" w:sz="0" w:space="0" w:color="auto"/>
        <w:bottom w:val="none" w:sz="0" w:space="0" w:color="auto"/>
        <w:right w:val="none" w:sz="0" w:space="0" w:color="auto"/>
      </w:divBdr>
      <w:divsChild>
        <w:div w:id="1608460740">
          <w:marLeft w:val="0"/>
          <w:marRight w:val="0"/>
          <w:marTop w:val="0"/>
          <w:marBottom w:val="0"/>
          <w:divBdr>
            <w:top w:val="none" w:sz="0" w:space="0" w:color="auto"/>
            <w:left w:val="none" w:sz="0" w:space="0" w:color="auto"/>
            <w:bottom w:val="none" w:sz="0" w:space="0" w:color="auto"/>
            <w:right w:val="none" w:sz="0" w:space="0" w:color="auto"/>
          </w:divBdr>
          <w:divsChild>
            <w:div w:id="1797261612">
              <w:marLeft w:val="0"/>
              <w:marRight w:val="0"/>
              <w:marTop w:val="0"/>
              <w:marBottom w:val="0"/>
              <w:divBdr>
                <w:top w:val="none" w:sz="0" w:space="0" w:color="auto"/>
                <w:left w:val="none" w:sz="0" w:space="0" w:color="auto"/>
                <w:bottom w:val="none" w:sz="0" w:space="0" w:color="auto"/>
                <w:right w:val="none" w:sz="0" w:space="0" w:color="auto"/>
              </w:divBdr>
              <w:divsChild>
                <w:div w:id="2133593472">
                  <w:marLeft w:val="0"/>
                  <w:marRight w:val="0"/>
                  <w:marTop w:val="0"/>
                  <w:marBottom w:val="0"/>
                  <w:divBdr>
                    <w:top w:val="none" w:sz="0" w:space="0" w:color="auto"/>
                    <w:left w:val="none" w:sz="0" w:space="0" w:color="auto"/>
                    <w:bottom w:val="none" w:sz="0" w:space="0" w:color="auto"/>
                    <w:right w:val="none" w:sz="0" w:space="0" w:color="auto"/>
                  </w:divBdr>
                  <w:divsChild>
                    <w:div w:id="1466924034">
                      <w:marLeft w:val="0"/>
                      <w:marRight w:val="0"/>
                      <w:marTop w:val="0"/>
                      <w:marBottom w:val="0"/>
                      <w:divBdr>
                        <w:top w:val="none" w:sz="0" w:space="0" w:color="auto"/>
                        <w:left w:val="none" w:sz="0" w:space="0" w:color="auto"/>
                        <w:bottom w:val="none" w:sz="0" w:space="0" w:color="auto"/>
                        <w:right w:val="none" w:sz="0" w:space="0" w:color="auto"/>
                      </w:divBdr>
                      <w:divsChild>
                        <w:div w:id="1088422884">
                          <w:marLeft w:val="0"/>
                          <w:marRight w:val="0"/>
                          <w:marTop w:val="0"/>
                          <w:marBottom w:val="0"/>
                          <w:divBdr>
                            <w:top w:val="none" w:sz="0" w:space="0" w:color="auto"/>
                            <w:left w:val="none" w:sz="0" w:space="0" w:color="auto"/>
                            <w:bottom w:val="none" w:sz="0" w:space="0" w:color="auto"/>
                            <w:right w:val="none" w:sz="0" w:space="0" w:color="auto"/>
                          </w:divBdr>
                          <w:divsChild>
                            <w:div w:id="2009556837">
                              <w:marLeft w:val="0"/>
                              <w:marRight w:val="0"/>
                              <w:marTop w:val="0"/>
                              <w:marBottom w:val="0"/>
                              <w:divBdr>
                                <w:top w:val="none" w:sz="0" w:space="0" w:color="auto"/>
                                <w:left w:val="none" w:sz="0" w:space="0" w:color="auto"/>
                                <w:bottom w:val="none" w:sz="0" w:space="0" w:color="auto"/>
                                <w:right w:val="none" w:sz="0" w:space="0" w:color="auto"/>
                              </w:divBdr>
                              <w:divsChild>
                                <w:div w:id="1885562597">
                                  <w:marLeft w:val="0"/>
                                  <w:marRight w:val="0"/>
                                  <w:marTop w:val="0"/>
                                  <w:marBottom w:val="0"/>
                                  <w:divBdr>
                                    <w:top w:val="none" w:sz="0" w:space="0" w:color="auto"/>
                                    <w:left w:val="none" w:sz="0" w:space="0" w:color="auto"/>
                                    <w:bottom w:val="none" w:sz="0" w:space="0" w:color="auto"/>
                                    <w:right w:val="none" w:sz="0" w:space="0" w:color="auto"/>
                                  </w:divBdr>
                                  <w:divsChild>
                                    <w:div w:id="1073238808">
                                      <w:marLeft w:val="0"/>
                                      <w:marRight w:val="0"/>
                                      <w:marTop w:val="0"/>
                                      <w:marBottom w:val="0"/>
                                      <w:divBdr>
                                        <w:top w:val="none" w:sz="0" w:space="0" w:color="auto"/>
                                        <w:left w:val="none" w:sz="0" w:space="0" w:color="auto"/>
                                        <w:bottom w:val="none" w:sz="0" w:space="0" w:color="auto"/>
                                        <w:right w:val="none" w:sz="0" w:space="0" w:color="auto"/>
                                      </w:divBdr>
                                      <w:divsChild>
                                        <w:div w:id="993265389">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999</Words>
  <Characters>5695</Characters>
  <Application>Microsoft Office Word</Application>
  <DocSecurity>0</DocSecurity>
  <Lines>47</Lines>
  <Paragraphs>13</Paragraphs>
  <ScaleCrop>false</ScaleCrop>
  <Company/>
  <LinksUpToDate>false</LinksUpToDate>
  <CharactersWithSpaces>6681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2021-03-22T10:10:00Z</dcterms:created>
  <dcterms:modified xsi:type="dcterms:W3CDTF">2021-03-22T10:10:00Z</dcterms:modified>
</cp:coreProperties>
</file>