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8"/>
          <w:sz w:val="44"/>
          <w:szCs w:val="44"/>
          <w:shd w:val="clear" w:fill="FFFFFF"/>
        </w:rPr>
      </w:pPr>
      <w:r>
        <w:rPr>
          <w:rFonts w:hint="eastAsia" w:ascii="方正小标宋简体" w:hAnsi="方正小标宋简体" w:eastAsia="方正小标宋简体" w:cs="方正小标宋简体"/>
          <w:b w:val="0"/>
          <w:bCs w:val="0"/>
          <w:i w:val="0"/>
          <w:iCs w:val="0"/>
          <w:caps w:val="0"/>
          <w:spacing w:val="8"/>
          <w:sz w:val="44"/>
          <w:szCs w:val="44"/>
          <w:shd w:val="clear" w:fill="FFFFFF"/>
          <w:lang w:eastAsia="zh-CN"/>
        </w:rPr>
        <w:t>平煤神马医疗集团总医院</w:t>
      </w:r>
      <w:r>
        <w:rPr>
          <w:rFonts w:hint="eastAsia" w:ascii="方正小标宋简体" w:hAnsi="方正小标宋简体" w:eastAsia="方正小标宋简体" w:cs="方正小标宋简体"/>
          <w:b w:val="0"/>
          <w:bCs w:val="0"/>
          <w:i w:val="0"/>
          <w:iCs w:val="0"/>
          <w:caps w:val="0"/>
          <w:spacing w:val="8"/>
          <w:sz w:val="44"/>
          <w:szCs w:val="44"/>
          <w:shd w:val="clear" w:fill="FFFFFF"/>
        </w:rPr>
        <w:t>非中医类别医师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val="0"/>
          <w:bCs w:val="0"/>
          <w:color w:val="000000" w:themeColor="text1"/>
          <w:spacing w:val="8"/>
          <w:kern w:val="0"/>
          <w:sz w:val="44"/>
          <w:szCs w:val="44"/>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iCs w:val="0"/>
          <w:caps w:val="0"/>
          <w:spacing w:val="8"/>
          <w:sz w:val="44"/>
          <w:szCs w:val="44"/>
          <w:shd w:val="clear" w:fill="FFFFFF"/>
        </w:rPr>
        <w:t>学习中医培训班招生简章</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为贯彻落实河南省卫生健康委员会《关于加强非中医类别医师学习中医培训工作的通知》（豫卫中医〔2020〕21号）、平顶山市卫生健康委员会《平顶山市非中医类别医师学习中医培训工作实施方案》（平卫中医〔2021〕11号）文件精神，鼓励西医学习中医，培养一批掌握中医辨证论治、理法方药，能熟练运用中医、西医两种诊疗方法的中西医结合人才，平煤神马医疗集团总医院将面向社会招收非中医类别医师学习中医培训学员，具体工作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75"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一、培训目标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shd w:val="clear" w:fill="FFFFFF"/>
          <w:lang w:val="en-US" w:eastAsia="zh-CN" w:bidi="ar"/>
          <w14:textFill>
            <w14:solidFill>
              <w14:schemeClr w14:val="tx1"/>
            </w14:solidFill>
          </w14:textFill>
        </w:rPr>
        <w:t>培训学员通过系统培训，普及中医药基础理论、基本知识和基本技能，能熟练运用中西医结合方法对临床疾病辨证施治，规范合理使用中医药技术方法，提高中医药临床应用水平。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left"/>
        <w:textAlignment w:val="auto"/>
        <w:rPr>
          <w:rFonts w:hint="eastAsia" w:ascii="仿宋_GB2312" w:hAnsi="仿宋_GB2312" w:eastAsia="仿宋_GB2312" w:cs="仿宋_GB2312"/>
          <w:color w:val="000000" w:themeColor="text1"/>
          <w:spacing w:val="15"/>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二、培训时间及内容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院内集中开展中医理论知识培训，培训内容参照《河南省非中医类别医师学习中医培训大纲》（附件1）进行。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（一）一年期培训班，非中医类别医师集中学习中医理论课程，完成8～9门的中医课程，总学时数不少于480学时（课外自学时间不多于100学时），临床实践时间不少于3个月。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（二）二年期培训班，非中医类别医师集中学习中医理论课程，完成11～16门的中医课程，总学时数不少于850学时（课外自学时间不少于300学时），临床实践时间不少于6个月。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left"/>
        <w:textAlignment w:val="auto"/>
        <w:rPr>
          <w:rFonts w:hint="eastAsia" w:ascii="仿宋_GB2312" w:hAnsi="仿宋_GB2312" w:eastAsia="仿宋_GB2312" w:cs="仿宋_GB2312"/>
          <w:color w:val="000000" w:themeColor="text1"/>
          <w:spacing w:val="15"/>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三、招收条件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一）具有执业助理医师及以上资格的非中医类别医师；（二）在临床科室工作中需开具中成药、中药饮片处方的非中医类别医师；（三）热爱中医事业，有良好的医德医风及学习钻研精神，能够保证培训任务的完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left"/>
        <w:textAlignment w:val="auto"/>
        <w:rPr>
          <w:rFonts w:hint="eastAsia" w:ascii="仿宋_GB2312" w:hAnsi="仿宋_GB2312" w:eastAsia="仿宋_GB2312" w:cs="仿宋_GB2312"/>
          <w:color w:val="000000" w:themeColor="text1"/>
          <w:spacing w:val="15"/>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四、报名时间及流程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（一）报名时间：2023年5月15日至2023年5月24日上午08:00至12:00，下午14:30至17:30。（节假日休息）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（二）报名流程：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1.培训学员首先填写“平煤神马医疗集团总医院非中医类别医师学习中医培训申请表”（附件2）、“平煤神马医疗集团总医院非中医类别医师学习中医培训申请汇总表”（附件3），现场报名时提交上述表格纸质版（双面打印，一式四份）及以下材料：①一寸免冠照片2张(底色不限)；②个人身份证复印件(正反面印在一张A4纸上)；③执业证原件（核验）及复印件；④医师资格证原件（核验）及复印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2.报名地点：平煤神马医疗集团总医院科研教学中心（2号楼五楼西）</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联系人：王慧鸽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联系电话：0375-2799078</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开课时间另行通知。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75" w:firstLineChars="200"/>
        <w:jc w:val="left"/>
        <w:textAlignment w:val="auto"/>
        <w:rPr>
          <w:rFonts w:hint="eastAsia" w:ascii="仿宋_GB2312" w:hAnsi="仿宋_GB2312" w:eastAsia="仿宋_GB2312" w:cs="仿宋_GB2312"/>
          <w:color w:val="000000" w:themeColor="text1"/>
          <w:spacing w:val="15"/>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五、培训费标准</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1年期培训班2500元（含教材费），2年期培训班4000元（含教材费）。</w:t>
      </w:r>
    </w:p>
    <w:p>
      <w:pPr>
        <w:pStyle w:val="3"/>
        <w:adjustRightInd w:val="0"/>
        <w:snapToGrid w:val="0"/>
        <w:spacing w:after="0" w:line="540" w:lineRule="exact"/>
        <w:ind w:firstLine="640" w:firstLineChars="200"/>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sz w:val="32"/>
          <w:szCs w:val="32"/>
        </w:rPr>
        <w:t>培训费用包括：1.所学必修课程和选学课程的理论授课；2.“西学中”在线试题库；3.“西学中”理论必修课程教材一套。</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六、培训考核</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（一）考核分为日常考核和结业考核。日常考核含理论课程考试和临床实践考核，由我院负责，学期结束结业考核由省卫健委统一组织。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（二）结业发证：结业考核成绩合格的学员，由省卫生健康委（省中医管理局）发放河南省非中医类别医师学习中医培训结业证书。</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三）证书使用：根据《国家卫生健康委办公厅国家中医药管理局办公室关于印发第一批国家重点监控合理用药药品目录(化药及生物制品)的通知》（国卫办医函〔2019〕558号）要求，其他类别的医师，经过不少于1年系统学习中医药专业知识并考核合格后，遵照中医临床基本的辨证施治原则，可以开具中成药处方；取得省级以上教育行政部门认可的中医、中西医结合、民族医医学专业学历或学位的，或者参加省级中医药主管部门认可的2年以上西医学习中医培训班(总学时数不少于850学时)并取得相应证书的，既可以开具中成药处方，也可以开具中药饮片处方。根据《中共河南省委 河南省人民政府关于促进中医药传承创新发展的实施意见》（豫发〔2020〕4号），允许临床类别医师通过西医学习中医培训考核后提供中医服务，参加中西医结合职称评聘。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kern w:val="0"/>
          <w:sz w:val="32"/>
          <w:szCs w:val="32"/>
          <w:lang w:val="en-US" w:eastAsia="zh-CN" w:bidi="ar"/>
          <w14:textFill>
            <w14:solidFill>
              <w14:schemeClr w14:val="tx1"/>
            </w14:solidFill>
          </w14:textFill>
        </w:rPr>
        <w:t>（四）培训学员信息管理报名工作结束后，由科研教学中心工作人员统一登录“河南省非中医类别医师学习中医培训管理系统”登记学员信息，上级主管部门审核后予以备案。同时定期完善学员理论考试、实践考核以及结业考核等过程管理信息，未经备案或过程管理信息不完善的学员不予安排结业考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EFEFF"/>
        <w:kinsoku/>
        <w:wordWrap/>
        <w:overflowPunct/>
        <w:topLinePunct w:val="0"/>
        <w:autoSpaceDE/>
        <w:autoSpaceDN/>
        <w:bidi w:val="0"/>
        <w:adjustRightInd/>
        <w:snapToGrid/>
        <w:spacing w:before="0" w:beforeAutospacing="0" w:after="0" w:afterAutospacing="0" w:line="560" w:lineRule="exact"/>
        <w:ind w:left="0" w:right="0" w:firstLine="675" w:firstLineChars="200"/>
        <w:jc w:val="left"/>
        <w:textAlignment w:val="auto"/>
        <w:rPr>
          <w:rFonts w:hint="eastAsia" w:ascii="仿宋_GB2312" w:hAnsi="仿宋_GB2312" w:eastAsia="仿宋_GB2312" w:cs="仿宋_GB2312"/>
          <w:color w:val="000000" w:themeColor="text1"/>
          <w:spacing w:val="15"/>
          <w:sz w:val="32"/>
          <w:szCs w:val="32"/>
          <w14:textFill>
            <w14:solidFill>
              <w14:schemeClr w14:val="tx1"/>
            </w14:solidFill>
          </w14:textFill>
        </w:rPr>
      </w:pPr>
      <w:r>
        <w:rPr>
          <w:rStyle w:val="8"/>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七、其他未尽事宜参考相关规定执行</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附件1：河南省非中医类别医师学习中医培训大纲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1898" w:leftChars="320" w:right="0" w:hanging="1226" w:hangingChars="36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附件2：</w:t>
      </w:r>
      <w:r>
        <w:rPr>
          <w:rFonts w:hint="eastAsia" w:ascii="仿宋_GB2312" w:hAnsi="仿宋_GB2312" w:eastAsia="仿宋_GB2312" w:cs="仿宋_GB2312"/>
          <w:color w:val="000000" w:themeColor="text1"/>
          <w:spacing w:val="8"/>
          <w:sz w:val="32"/>
          <w:szCs w:val="32"/>
          <w:shd w:val="clear" w:fill="FFFFFF"/>
          <w:lang w:eastAsia="zh-CN"/>
          <w14:textFill>
            <w14:solidFill>
              <w14:schemeClr w14:val="tx1"/>
            </w14:solidFill>
          </w14:textFill>
        </w:rPr>
        <w:t>平煤神马医疗集团总医院</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非中医类别医师学习中医培训</w:t>
      </w:r>
      <w:r>
        <w:rPr>
          <w:rFonts w:hint="eastAsia" w:ascii="仿宋_GB2312" w:hAnsi="仿宋_GB2312" w:eastAsia="仿宋_GB2312" w:cs="仿宋_GB2312"/>
          <w:color w:val="000000" w:themeColor="text1"/>
          <w:spacing w:val="8"/>
          <w:sz w:val="32"/>
          <w:szCs w:val="32"/>
          <w:shd w:val="clear" w:fill="FFFFFF"/>
          <w:lang w:eastAsia="zh-CN"/>
          <w14:textFill>
            <w14:solidFill>
              <w14:schemeClr w14:val="tx1"/>
            </w14:solidFill>
          </w14:textFill>
        </w:rPr>
        <w:t>报名</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1898" w:leftChars="320" w:right="0" w:hanging="1226" w:hangingChars="36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附件3：</w:t>
      </w:r>
      <w:r>
        <w:rPr>
          <w:rFonts w:hint="eastAsia" w:ascii="仿宋_GB2312" w:hAnsi="仿宋_GB2312" w:eastAsia="仿宋_GB2312" w:cs="仿宋_GB2312"/>
          <w:color w:val="000000" w:themeColor="text1"/>
          <w:spacing w:val="8"/>
          <w:sz w:val="32"/>
          <w:szCs w:val="32"/>
          <w:shd w:val="clear" w:fill="FFFFFF"/>
          <w:lang w:eastAsia="zh-CN"/>
          <w14:textFill>
            <w14:solidFill>
              <w14:schemeClr w14:val="tx1"/>
            </w14:solidFill>
          </w14:textFill>
        </w:rPr>
        <w:t>平煤神马医疗集团总医院</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非中医类别医师学习中医培训</w:t>
      </w:r>
      <w:r>
        <w:rPr>
          <w:rFonts w:hint="eastAsia" w:ascii="仿宋_GB2312" w:hAnsi="仿宋_GB2312" w:eastAsia="仿宋_GB2312" w:cs="仿宋_GB2312"/>
          <w:color w:val="000000" w:themeColor="text1"/>
          <w:spacing w:val="8"/>
          <w:sz w:val="32"/>
          <w:szCs w:val="32"/>
          <w:shd w:val="clear" w:fill="FFFFFF"/>
          <w:lang w:eastAsia="zh-CN"/>
          <w14:textFill>
            <w14:solidFill>
              <w14:schemeClr w14:val="tx1"/>
            </w14:solidFill>
          </w14:textFill>
        </w:rPr>
        <w:t>报名</w:t>
      </w:r>
      <w:r>
        <w:rPr>
          <w:rFonts w:hint="eastAsia" w:ascii="仿宋_GB2312" w:hAnsi="仿宋_GB2312" w:eastAsia="仿宋_GB2312" w:cs="仿宋_GB2312"/>
          <w:color w:val="000000" w:themeColor="text1"/>
          <w:spacing w:val="8"/>
          <w:sz w:val="32"/>
          <w:szCs w:val="32"/>
          <w:shd w:val="clear" w:fill="FFFFFF"/>
          <w14:textFill>
            <w14:solidFill>
              <w14:schemeClr w14:val="tx1"/>
            </w14:solidFill>
          </w14:textFill>
        </w:rPr>
        <w:t>汇总表</w:t>
      </w:r>
    </w:p>
    <w:p>
      <w:pPr>
        <w:rPr>
          <w:rFonts w:hint="eastAsia" w:ascii="黑体" w:hAnsi="黑体" w:eastAsia="黑体" w:cs="黑体"/>
          <w:b/>
          <w:color w:val="000000"/>
          <w:sz w:val="32"/>
          <w:szCs w:val="32"/>
        </w:rPr>
      </w:pPr>
      <w:r>
        <w:rPr>
          <w:rFonts w:hint="eastAsia" w:ascii="黑体" w:hAnsi="黑体" w:eastAsia="黑体" w:cs="黑体"/>
          <w:b/>
          <w:color w:val="000000"/>
          <w:sz w:val="32"/>
          <w:szCs w:val="32"/>
        </w:rPr>
        <w:br w:type="page"/>
      </w:r>
    </w:p>
    <w:p>
      <w:pPr>
        <w:adjustRightInd w:val="0"/>
        <w:snapToGrid w:val="0"/>
        <w:spacing w:line="700" w:lineRule="exact"/>
        <w:rPr>
          <w:rFonts w:hint="eastAsia" w:ascii="黑体" w:hAnsi="黑体" w:eastAsia="黑体" w:cs="黑体"/>
          <w:b/>
          <w:color w:val="000000"/>
          <w:sz w:val="32"/>
          <w:szCs w:val="32"/>
        </w:rPr>
      </w:pPr>
      <w:r>
        <w:rPr>
          <w:rFonts w:hint="eastAsia" w:ascii="黑体" w:hAnsi="黑体" w:eastAsia="黑体" w:cs="黑体"/>
          <w:b/>
          <w:color w:val="000000"/>
          <w:sz w:val="32"/>
          <w:szCs w:val="32"/>
        </w:rPr>
        <w:t>附件1：</w:t>
      </w:r>
    </w:p>
    <w:p>
      <w:pPr>
        <w:adjustRightInd w:val="0"/>
        <w:snapToGrid w:val="0"/>
        <w:spacing w:line="700" w:lineRule="exact"/>
        <w:jc w:val="center"/>
        <w:rPr>
          <w:rFonts w:hint="eastAsia" w:ascii="方正小标宋简体" w:hAnsi="黑体" w:eastAsia="方正小标宋简体" w:cs="黑体"/>
          <w:b/>
          <w:color w:val="000000"/>
          <w:sz w:val="44"/>
          <w:szCs w:val="44"/>
        </w:rPr>
      </w:pPr>
      <w:r>
        <w:rPr>
          <w:rFonts w:hint="eastAsia" w:ascii="方正小标宋简体" w:hAnsi="方正小标宋简体" w:eastAsia="方正小标宋简体" w:cs="方正小标宋简体"/>
          <w:b/>
          <w:bCs/>
          <w:color w:val="000000"/>
          <w:sz w:val="44"/>
          <w:szCs w:val="44"/>
        </w:rPr>
        <w:t>河南省非中医类别医师学习中医培训大纲</w:t>
      </w:r>
    </w:p>
    <w:p>
      <w:pPr>
        <w:adjustRightInd w:val="0"/>
        <w:snapToGrid w:val="0"/>
        <w:spacing w:line="700" w:lineRule="exact"/>
        <w:ind w:firstLine="643" w:firstLineChars="200"/>
        <w:rPr>
          <w:rFonts w:hint="eastAsia" w:ascii="黑体" w:hAnsi="黑体" w:eastAsia="黑体" w:cs="黑体"/>
          <w:b/>
          <w:bCs/>
          <w:color w:val="000000"/>
          <w:sz w:val="32"/>
          <w:szCs w:val="32"/>
        </w:rPr>
      </w:pPr>
      <w:r>
        <w:rPr>
          <w:rFonts w:hint="eastAsia" w:ascii="黑体" w:hAnsi="黑体" w:eastAsia="黑体" w:cs="黑体"/>
          <w:b/>
          <w:bCs/>
          <w:color w:val="000000"/>
          <w:sz w:val="32"/>
          <w:szCs w:val="32"/>
        </w:rPr>
        <w:t>一、培训目标</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培训对象通过系统培训，普及中医药基础理论、基本知识和基本技能，能熟练运用、中西医结合方法对临床疾病辨证施治，规范合理使用中医药技术方法，提高中医药临床应用水平。</w:t>
      </w:r>
    </w:p>
    <w:p>
      <w:pPr>
        <w:adjustRightInd w:val="0"/>
        <w:snapToGrid w:val="0"/>
        <w:spacing w:line="700" w:lineRule="exact"/>
        <w:ind w:firstLine="643" w:firstLineChars="200"/>
        <w:rPr>
          <w:rFonts w:hint="eastAsia" w:ascii="黑体" w:hAnsi="黑体" w:eastAsia="黑体" w:cs="黑体"/>
          <w:b/>
          <w:bCs/>
          <w:color w:val="000000"/>
          <w:sz w:val="32"/>
          <w:szCs w:val="32"/>
        </w:rPr>
      </w:pPr>
      <w:r>
        <w:rPr>
          <w:rFonts w:hint="eastAsia" w:ascii="黑体" w:hAnsi="黑体" w:eastAsia="黑体" w:cs="黑体"/>
          <w:b/>
          <w:bCs/>
          <w:color w:val="000000"/>
          <w:sz w:val="32"/>
          <w:szCs w:val="32"/>
        </w:rPr>
        <w:t>二、培训学员条件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具有执业助理医师及以上资格，在临床科室工作，按规定申请参加培训的非中医类别医师。</w:t>
      </w:r>
    </w:p>
    <w:p>
      <w:pPr>
        <w:adjustRightInd w:val="0"/>
        <w:snapToGrid w:val="0"/>
        <w:spacing w:line="700" w:lineRule="exact"/>
        <w:ind w:firstLine="643" w:firstLineChars="200"/>
        <w:rPr>
          <w:rFonts w:hint="eastAsia" w:ascii="黑体" w:hAnsi="黑体" w:eastAsia="黑体" w:cs="黑体"/>
          <w:b/>
          <w:bCs/>
          <w:color w:val="000000"/>
          <w:sz w:val="32"/>
          <w:szCs w:val="32"/>
        </w:rPr>
      </w:pPr>
      <w:r>
        <w:rPr>
          <w:rFonts w:hint="eastAsia" w:ascii="黑体" w:hAnsi="黑体" w:eastAsia="黑体" w:cs="黑体"/>
          <w:b/>
          <w:bCs/>
          <w:color w:val="000000"/>
          <w:sz w:val="32"/>
          <w:szCs w:val="32"/>
        </w:rPr>
        <w:t>三、培训形式及时间</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培训通过集中学习、课外自学、临床实践等方式进行。</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年期培训班培训时间为1年，总学时数不少于480学时（课外自学时间不多于100学时），临床实践时间不少于3个月。二年期及以上培训班，总学时数不少于850学时（课外自学时间不多于300学时），临床实践时间不少于6个月。</w:t>
      </w:r>
    </w:p>
    <w:p>
      <w:pPr>
        <w:adjustRightInd w:val="0"/>
        <w:snapToGrid w:val="0"/>
        <w:spacing w:line="700" w:lineRule="exact"/>
        <w:ind w:firstLine="643" w:firstLineChars="200"/>
        <w:rPr>
          <w:rFonts w:hint="eastAsia" w:ascii="黑体" w:hAnsi="黑体" w:eastAsia="黑体" w:cs="黑体"/>
          <w:b/>
          <w:bCs/>
          <w:color w:val="000000"/>
          <w:sz w:val="32"/>
          <w:szCs w:val="32"/>
        </w:rPr>
      </w:pPr>
      <w:r>
        <w:rPr>
          <w:rFonts w:hint="eastAsia" w:ascii="黑体" w:hAnsi="黑体" w:eastAsia="黑体" w:cs="黑体"/>
          <w:b/>
          <w:bCs/>
          <w:color w:val="000000"/>
          <w:sz w:val="32"/>
          <w:szCs w:val="32"/>
        </w:rPr>
        <w:t>四、培训内容</w:t>
      </w:r>
    </w:p>
    <w:p>
      <w:pPr>
        <w:adjustRightInd w:val="0"/>
        <w:snapToGrid w:val="0"/>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（一）集中学习</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一年期培训班。包括必修课6门：中医基础理论、中医诊断学、中药学、方剂学、中医内科学、中成药学概论；选修课2～3门：根据所从事的专业，在中医外科学、中医妇科学、中医儿科学、中医骨伤科学、中医眼科学、中医耳鼻喉科学、中医推拿学等课程中自选。</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二年期及以上培训班。包括必修课9门：中医基础理论、中医诊断学、中药学、方剂学、中医内科学、中成药学概论、中医推拿学、中医经典课程、中医科研思路与方法；选修课2～7门：根据所从事的专业及个人兴趣在中医外科学、中医妇科学、中医儿科学、中医骨伤科学、中医眼科学、中医耳鼻喉科学、医古文、针灸学等课程中自选。</w:t>
      </w:r>
    </w:p>
    <w:p>
      <w:pPr>
        <w:adjustRightInd w:val="0"/>
        <w:snapToGrid w:val="0"/>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（二）课外自学</w:t>
      </w:r>
    </w:p>
    <w:p>
      <w:pPr>
        <w:pStyle w:val="3"/>
        <w:adjustRightInd w:val="0"/>
        <w:snapToGrid w:val="0"/>
        <w:spacing w:after="0"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培训对象结合临床工作实际，通过在线学习平台完成相应课程学时，巩固集中学习效果，提高中医理论知识与技能水平。</w:t>
      </w:r>
    </w:p>
    <w:p>
      <w:pPr>
        <w:adjustRightInd w:val="0"/>
        <w:snapToGrid w:val="0"/>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（三）临床实践</w:t>
      </w:r>
    </w:p>
    <w:p>
      <w:pPr>
        <w:pStyle w:val="3"/>
        <w:adjustRightInd w:val="0"/>
        <w:snapToGrid w:val="0"/>
        <w:spacing w:after="0"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临床实践方式以门诊跟师为主。一年期培训班临床实践时间不少于12周。二年期及以上培训班，临床实践时间不少于24周。每周不少于3个半天。其中中医内科实践时间不少于一半，中医妇科、中医儿科、中医外科、中医骨伤科等科室结合个人实际情况安排，原则上临床实践科室不少于3个。</w:t>
      </w:r>
    </w:p>
    <w:p>
      <w:pPr>
        <w:pStyle w:val="3"/>
        <w:adjustRightInd w:val="0"/>
        <w:snapToGrid w:val="0"/>
        <w:spacing w:after="0"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详细课程设置及学时安排情况附后。</w:t>
      </w:r>
    </w:p>
    <w:p>
      <w:pPr>
        <w:adjustRightInd w:val="0"/>
        <w:snapToGrid w:val="0"/>
        <w:spacing w:line="700" w:lineRule="exact"/>
        <w:ind w:firstLine="643" w:firstLineChars="200"/>
        <w:rPr>
          <w:rFonts w:hint="eastAsia" w:ascii="黑体" w:hAnsi="黑体" w:eastAsia="黑体" w:cs="黑体"/>
          <w:b/>
          <w:bCs/>
          <w:color w:val="000000"/>
          <w:sz w:val="32"/>
          <w:szCs w:val="32"/>
        </w:rPr>
      </w:pPr>
      <w:r>
        <w:rPr>
          <w:rFonts w:hint="eastAsia" w:ascii="黑体" w:hAnsi="黑体" w:eastAsia="黑体" w:cs="黑体"/>
          <w:b/>
          <w:bCs/>
          <w:color w:val="000000"/>
          <w:sz w:val="32"/>
          <w:szCs w:val="32"/>
        </w:rPr>
        <w:t>五、平时考核</w:t>
      </w:r>
    </w:p>
    <w:p>
      <w:pPr>
        <w:pStyle w:val="3"/>
        <w:adjustRightInd w:val="0"/>
        <w:snapToGrid w:val="0"/>
        <w:spacing w:after="0"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平时考核含理论课程考试和临床实践考核，由科研教学中心、中医管理科负责。</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理论课程考试在每门课程结束后进行，成绩采用百分制，考试成绩占85%，作业成绩占15%。60分及以上合格，不合格者允许补考1次，并注明补考。</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临床实践考核在每科轮转结束后进行，由带教老师结合学员考勤、跟师、考核等情况综合评定，分为优、良、合格、不及格，临床实践期间无故缺勤累计超过五分之一时间者直接判定为不合格。</w:t>
      </w:r>
    </w:p>
    <w:p>
      <w:pPr>
        <w:adjustRightInd w:val="0"/>
        <w:snapToGrid w:val="0"/>
        <w:spacing w:line="700" w:lineRule="exact"/>
        <w:ind w:firstLine="643" w:firstLineChars="200"/>
        <w:rPr>
          <w:rFonts w:hint="eastAsia" w:ascii="黑体" w:hAnsi="黑体" w:eastAsia="黑体" w:cs="黑体"/>
          <w:b/>
          <w:bCs/>
          <w:color w:val="000000"/>
          <w:sz w:val="32"/>
          <w:szCs w:val="32"/>
        </w:rPr>
      </w:pPr>
      <w:r>
        <w:rPr>
          <w:rFonts w:hint="eastAsia" w:ascii="黑体" w:hAnsi="黑体" w:eastAsia="黑体" w:cs="黑体"/>
          <w:b/>
          <w:bCs/>
          <w:color w:val="000000"/>
          <w:sz w:val="32"/>
          <w:szCs w:val="32"/>
        </w:rPr>
        <w:t>六、其他要求</w:t>
      </w:r>
    </w:p>
    <w:p>
      <w:pPr>
        <w:adjustRightInd w:val="0"/>
        <w:snapToGrid w:val="0"/>
        <w:spacing w:line="560" w:lineRule="exact"/>
        <w:ind w:firstLine="643" w:firstLineChars="200"/>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w:t>
      </w:r>
      <w:r>
        <w:rPr>
          <w:rFonts w:hint="eastAsia" w:ascii="仿宋_GB2312" w:hAnsi="仿宋_GB2312" w:eastAsia="仿宋_GB2312" w:cs="仿宋_GB2312"/>
          <w:color w:val="000000"/>
          <w:sz w:val="32"/>
          <w:szCs w:val="32"/>
        </w:rPr>
        <w:t>学员要严格按照培训计划进行学习，不得随意减少学时，科研教学中心对培训学员的培训、考勤、考核等情况及时登记存档，以备查阅。</w:t>
      </w:r>
    </w:p>
    <w:p>
      <w:pPr>
        <w:adjustRightInd w:val="0"/>
        <w:snapToGrid w:val="0"/>
        <w:spacing w:line="560" w:lineRule="exact"/>
        <w:ind w:firstLine="643" w:firstLineChars="200"/>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（二）</w:t>
      </w:r>
      <w:r>
        <w:rPr>
          <w:rFonts w:hint="eastAsia" w:ascii="仿宋_GB2312" w:hAnsi="仿宋_GB2312" w:eastAsia="仿宋_GB2312" w:cs="仿宋_GB2312"/>
          <w:color w:val="000000"/>
          <w:sz w:val="32"/>
          <w:szCs w:val="32"/>
        </w:rPr>
        <w:t>培训学员应根据培训情况制定个人学习计划，按时参加培训，做好学习笔记，结合临床实际研习相关中医书籍，及时总结医案等。</w:t>
      </w:r>
    </w:p>
    <w:p>
      <w:pPr>
        <w:adjustRightInd w:val="0"/>
        <w:snapToGrid w:val="0"/>
        <w:spacing w:line="560" w:lineRule="exact"/>
        <w:ind w:firstLine="643" w:firstLineChars="200"/>
        <w:jc w:val="center"/>
        <w:rPr>
          <w:rFonts w:hint="eastAsia" w:ascii="方正小标宋简体" w:hAnsi="仿宋_GB2312" w:eastAsia="方正小标宋简体" w:cs="仿宋_GB2312"/>
          <w:color w:val="000000"/>
          <w:sz w:val="32"/>
          <w:szCs w:val="32"/>
        </w:rPr>
      </w:pPr>
      <w:r>
        <w:rPr>
          <w:rFonts w:hint="eastAsia" w:ascii="方正小标宋简体" w:hAnsi="仿宋_GB2312" w:eastAsia="方正小标宋简体" w:cs="仿宋_GB2312"/>
          <w:b/>
          <w:color w:val="000000"/>
          <w:sz w:val="32"/>
          <w:szCs w:val="32"/>
        </w:rPr>
        <w:t>课程设置及学时安排</w:t>
      </w:r>
    </w:p>
    <w:tbl>
      <w:tblPr>
        <w:tblStyle w:val="6"/>
        <w:tblW w:w="4734" w:type="pct"/>
        <w:tblInd w:w="1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35"/>
        <w:gridCol w:w="2490"/>
        <w:gridCol w:w="1440"/>
        <w:gridCol w:w="1198"/>
        <w:gridCol w:w="1307"/>
        <w:gridCol w:w="141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5" w:hRule="atLeast"/>
        </w:trPr>
        <w:tc>
          <w:tcPr>
            <w:tcW w:w="1879" w:type="pct"/>
            <w:gridSpan w:val="2"/>
            <w:vMerge w:val="restar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课程名称</w:t>
            </w:r>
          </w:p>
        </w:tc>
        <w:tc>
          <w:tcPr>
            <w:tcW w:w="1537" w:type="pct"/>
            <w:gridSpan w:val="2"/>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一年期培训班</w:t>
            </w:r>
          </w:p>
        </w:tc>
        <w:tc>
          <w:tcPr>
            <w:tcW w:w="1583" w:type="pct"/>
            <w:gridSpan w:val="2"/>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二年期及以上培训班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0" w:hRule="atLeast"/>
        </w:trPr>
        <w:tc>
          <w:tcPr>
            <w:tcW w:w="1879" w:type="pct"/>
            <w:gridSpan w:val="2"/>
            <w:vMerge w:val="continue"/>
            <w:noWrap w:val="0"/>
            <w:vAlign w:val="center"/>
          </w:tcPr>
          <w:p>
            <w:pPr>
              <w:rPr>
                <w:color w:val="000000"/>
                <w:sz w:val="24"/>
                <w:szCs w:val="24"/>
              </w:rPr>
            </w:pPr>
          </w:p>
        </w:tc>
        <w:tc>
          <w:tcPr>
            <w:tcW w:w="839"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面授学时</w:t>
            </w:r>
          </w:p>
        </w:tc>
        <w:tc>
          <w:tcPr>
            <w:tcW w:w="698"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课外学时</w:t>
            </w:r>
          </w:p>
        </w:tc>
        <w:tc>
          <w:tcPr>
            <w:tcW w:w="76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面授学时</w:t>
            </w:r>
          </w:p>
        </w:tc>
        <w:tc>
          <w:tcPr>
            <w:tcW w:w="82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课外学时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w:t>
            </w:r>
          </w:p>
        </w:tc>
        <w:tc>
          <w:tcPr>
            <w:tcW w:w="145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中医基础理论</w:t>
            </w:r>
          </w:p>
        </w:tc>
        <w:tc>
          <w:tcPr>
            <w:tcW w:w="839" w:type="pct"/>
            <w:noWrap w:val="0"/>
            <w:vAlign w:val="center"/>
          </w:tcPr>
          <w:p>
            <w:pPr>
              <w:textAlignment w:val="top"/>
              <w:rPr>
                <w:color w:val="000000"/>
                <w:sz w:val="24"/>
                <w:szCs w:val="24"/>
              </w:rPr>
            </w:pPr>
            <w:r>
              <w:rPr>
                <w:color w:val="000000"/>
                <w:kern w:val="0"/>
                <w:sz w:val="24"/>
                <w:szCs w:val="24"/>
                <w:lang w:bidi="ar"/>
              </w:rPr>
              <w:t>65</w:t>
            </w:r>
          </w:p>
        </w:tc>
        <w:tc>
          <w:tcPr>
            <w:tcW w:w="698" w:type="pct"/>
            <w:noWrap w:val="0"/>
            <w:vAlign w:val="center"/>
          </w:tcPr>
          <w:p>
            <w:pPr>
              <w:rPr>
                <w:color w:val="000000"/>
                <w:sz w:val="26"/>
                <w:szCs w:val="26"/>
              </w:rPr>
            </w:pPr>
          </w:p>
        </w:tc>
        <w:tc>
          <w:tcPr>
            <w:tcW w:w="761" w:type="pct"/>
            <w:noWrap w:val="0"/>
            <w:vAlign w:val="center"/>
          </w:tcPr>
          <w:p>
            <w:pPr>
              <w:textAlignment w:val="top"/>
              <w:rPr>
                <w:color w:val="000000"/>
                <w:sz w:val="24"/>
                <w:szCs w:val="24"/>
              </w:rPr>
            </w:pPr>
            <w:r>
              <w:rPr>
                <w:color w:val="000000"/>
                <w:kern w:val="0"/>
                <w:sz w:val="24"/>
                <w:szCs w:val="24"/>
                <w:lang w:bidi="ar"/>
              </w:rPr>
              <w:t>68</w:t>
            </w:r>
          </w:p>
        </w:tc>
        <w:tc>
          <w:tcPr>
            <w:tcW w:w="821" w:type="pct"/>
            <w:noWrap w:val="0"/>
            <w:vAlign w:val="center"/>
          </w:tcPr>
          <w:p>
            <w:pPr>
              <w:rPr>
                <w:color w:val="000000"/>
                <w:sz w:val="26"/>
                <w:szCs w:val="2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2</w:t>
            </w:r>
          </w:p>
        </w:tc>
        <w:tc>
          <w:tcPr>
            <w:tcW w:w="145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中医诊断学</w:t>
            </w:r>
          </w:p>
        </w:tc>
        <w:tc>
          <w:tcPr>
            <w:tcW w:w="839" w:type="pct"/>
            <w:noWrap w:val="0"/>
            <w:vAlign w:val="center"/>
          </w:tcPr>
          <w:p>
            <w:pPr>
              <w:textAlignment w:val="top"/>
              <w:rPr>
                <w:color w:val="000000"/>
                <w:sz w:val="24"/>
                <w:szCs w:val="24"/>
              </w:rPr>
            </w:pPr>
            <w:r>
              <w:rPr>
                <w:color w:val="000000"/>
                <w:kern w:val="0"/>
                <w:sz w:val="24"/>
                <w:szCs w:val="24"/>
                <w:lang w:bidi="ar"/>
              </w:rPr>
              <w:t>60</w:t>
            </w:r>
          </w:p>
        </w:tc>
        <w:tc>
          <w:tcPr>
            <w:tcW w:w="698" w:type="pct"/>
            <w:noWrap w:val="0"/>
            <w:vAlign w:val="center"/>
          </w:tcPr>
          <w:p>
            <w:pPr>
              <w:rPr>
                <w:color w:val="000000"/>
                <w:sz w:val="26"/>
                <w:szCs w:val="26"/>
              </w:rPr>
            </w:pPr>
          </w:p>
        </w:tc>
        <w:tc>
          <w:tcPr>
            <w:tcW w:w="761" w:type="pct"/>
            <w:noWrap w:val="0"/>
            <w:vAlign w:val="center"/>
          </w:tcPr>
          <w:p>
            <w:pPr>
              <w:textAlignment w:val="top"/>
              <w:rPr>
                <w:color w:val="000000"/>
                <w:sz w:val="24"/>
                <w:szCs w:val="24"/>
              </w:rPr>
            </w:pPr>
            <w:r>
              <w:rPr>
                <w:color w:val="000000"/>
                <w:kern w:val="0"/>
                <w:sz w:val="24"/>
                <w:szCs w:val="24"/>
                <w:lang w:bidi="ar"/>
              </w:rPr>
              <w:t>60</w:t>
            </w:r>
          </w:p>
        </w:tc>
        <w:tc>
          <w:tcPr>
            <w:tcW w:w="821" w:type="pct"/>
            <w:noWrap w:val="0"/>
            <w:vAlign w:val="center"/>
          </w:tcPr>
          <w:p>
            <w:pPr>
              <w:rPr>
                <w:color w:val="000000"/>
                <w:sz w:val="26"/>
                <w:szCs w:val="2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3</w:t>
            </w:r>
          </w:p>
        </w:tc>
        <w:tc>
          <w:tcPr>
            <w:tcW w:w="145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中药学</w:t>
            </w:r>
          </w:p>
        </w:tc>
        <w:tc>
          <w:tcPr>
            <w:tcW w:w="839" w:type="pct"/>
            <w:noWrap w:val="0"/>
            <w:vAlign w:val="center"/>
          </w:tcPr>
          <w:p>
            <w:pPr>
              <w:textAlignment w:val="top"/>
              <w:rPr>
                <w:color w:val="000000"/>
                <w:sz w:val="24"/>
                <w:szCs w:val="24"/>
              </w:rPr>
            </w:pPr>
            <w:r>
              <w:rPr>
                <w:color w:val="000000"/>
                <w:kern w:val="0"/>
                <w:sz w:val="24"/>
                <w:szCs w:val="24"/>
                <w:lang w:bidi="ar"/>
              </w:rPr>
              <w:t>45</w:t>
            </w:r>
          </w:p>
        </w:tc>
        <w:tc>
          <w:tcPr>
            <w:tcW w:w="698" w:type="pct"/>
            <w:noWrap w:val="0"/>
            <w:vAlign w:val="center"/>
          </w:tcPr>
          <w:p>
            <w:pPr>
              <w:rPr>
                <w:color w:val="000000"/>
                <w:sz w:val="26"/>
                <w:szCs w:val="26"/>
              </w:rPr>
            </w:pPr>
          </w:p>
        </w:tc>
        <w:tc>
          <w:tcPr>
            <w:tcW w:w="761" w:type="pct"/>
            <w:noWrap w:val="0"/>
            <w:vAlign w:val="center"/>
          </w:tcPr>
          <w:p>
            <w:pPr>
              <w:textAlignment w:val="top"/>
              <w:rPr>
                <w:color w:val="000000"/>
                <w:sz w:val="24"/>
                <w:szCs w:val="24"/>
              </w:rPr>
            </w:pPr>
            <w:r>
              <w:rPr>
                <w:color w:val="000000"/>
                <w:kern w:val="0"/>
                <w:sz w:val="24"/>
                <w:szCs w:val="24"/>
                <w:lang w:bidi="ar"/>
              </w:rPr>
              <w:t>60</w:t>
            </w:r>
          </w:p>
        </w:tc>
        <w:tc>
          <w:tcPr>
            <w:tcW w:w="821" w:type="pct"/>
            <w:noWrap w:val="0"/>
            <w:vAlign w:val="center"/>
          </w:tcPr>
          <w:p>
            <w:pPr>
              <w:rPr>
                <w:color w:val="000000"/>
                <w:sz w:val="26"/>
                <w:szCs w:val="2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4</w:t>
            </w:r>
          </w:p>
        </w:tc>
        <w:tc>
          <w:tcPr>
            <w:tcW w:w="145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方剂学</w:t>
            </w:r>
          </w:p>
        </w:tc>
        <w:tc>
          <w:tcPr>
            <w:tcW w:w="839" w:type="pct"/>
            <w:noWrap w:val="0"/>
            <w:vAlign w:val="center"/>
          </w:tcPr>
          <w:p>
            <w:pPr>
              <w:textAlignment w:val="top"/>
              <w:rPr>
                <w:color w:val="000000"/>
                <w:sz w:val="24"/>
                <w:szCs w:val="24"/>
              </w:rPr>
            </w:pPr>
            <w:r>
              <w:rPr>
                <w:color w:val="000000"/>
                <w:kern w:val="0"/>
                <w:sz w:val="24"/>
                <w:szCs w:val="24"/>
                <w:lang w:bidi="ar"/>
              </w:rPr>
              <w:t>60</w:t>
            </w:r>
          </w:p>
        </w:tc>
        <w:tc>
          <w:tcPr>
            <w:tcW w:w="698" w:type="pct"/>
            <w:noWrap w:val="0"/>
            <w:vAlign w:val="center"/>
          </w:tcPr>
          <w:p>
            <w:pPr>
              <w:rPr>
                <w:color w:val="000000"/>
                <w:sz w:val="26"/>
                <w:szCs w:val="26"/>
              </w:rPr>
            </w:pPr>
          </w:p>
        </w:tc>
        <w:tc>
          <w:tcPr>
            <w:tcW w:w="761" w:type="pct"/>
            <w:noWrap w:val="0"/>
            <w:vAlign w:val="center"/>
          </w:tcPr>
          <w:p>
            <w:pPr>
              <w:textAlignment w:val="top"/>
              <w:rPr>
                <w:color w:val="000000"/>
                <w:sz w:val="24"/>
                <w:szCs w:val="24"/>
              </w:rPr>
            </w:pPr>
            <w:r>
              <w:rPr>
                <w:color w:val="000000"/>
                <w:kern w:val="0"/>
                <w:sz w:val="24"/>
                <w:szCs w:val="24"/>
                <w:lang w:bidi="ar"/>
              </w:rPr>
              <w:t>60</w:t>
            </w:r>
          </w:p>
        </w:tc>
        <w:tc>
          <w:tcPr>
            <w:tcW w:w="821" w:type="pct"/>
            <w:noWrap w:val="0"/>
            <w:vAlign w:val="center"/>
          </w:tcPr>
          <w:p>
            <w:pPr>
              <w:rPr>
                <w:color w:val="000000"/>
                <w:sz w:val="26"/>
                <w:szCs w:val="2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5</w:t>
            </w:r>
          </w:p>
        </w:tc>
        <w:tc>
          <w:tcPr>
            <w:tcW w:w="145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中医内科学</w:t>
            </w:r>
          </w:p>
        </w:tc>
        <w:tc>
          <w:tcPr>
            <w:tcW w:w="839" w:type="pct"/>
            <w:noWrap w:val="0"/>
            <w:vAlign w:val="center"/>
          </w:tcPr>
          <w:p>
            <w:pPr>
              <w:textAlignment w:val="top"/>
              <w:rPr>
                <w:color w:val="000000"/>
                <w:sz w:val="24"/>
                <w:szCs w:val="24"/>
              </w:rPr>
            </w:pPr>
            <w:r>
              <w:rPr>
                <w:color w:val="000000"/>
                <w:kern w:val="0"/>
                <w:sz w:val="24"/>
                <w:szCs w:val="24"/>
                <w:lang w:bidi="ar"/>
              </w:rPr>
              <w:t>60</w:t>
            </w:r>
          </w:p>
        </w:tc>
        <w:tc>
          <w:tcPr>
            <w:tcW w:w="698" w:type="pct"/>
            <w:noWrap w:val="0"/>
            <w:vAlign w:val="center"/>
          </w:tcPr>
          <w:p>
            <w:pPr>
              <w:rPr>
                <w:color w:val="000000"/>
                <w:sz w:val="26"/>
                <w:szCs w:val="26"/>
              </w:rPr>
            </w:pPr>
          </w:p>
        </w:tc>
        <w:tc>
          <w:tcPr>
            <w:tcW w:w="761" w:type="pct"/>
            <w:noWrap w:val="0"/>
            <w:vAlign w:val="center"/>
          </w:tcPr>
          <w:p>
            <w:pPr>
              <w:textAlignment w:val="top"/>
              <w:rPr>
                <w:color w:val="000000"/>
                <w:sz w:val="24"/>
                <w:szCs w:val="24"/>
              </w:rPr>
            </w:pPr>
            <w:r>
              <w:rPr>
                <w:color w:val="000000"/>
                <w:kern w:val="0"/>
                <w:sz w:val="24"/>
                <w:szCs w:val="24"/>
                <w:lang w:bidi="ar"/>
              </w:rPr>
              <w:t>60</w:t>
            </w:r>
          </w:p>
        </w:tc>
        <w:tc>
          <w:tcPr>
            <w:tcW w:w="821" w:type="pct"/>
            <w:noWrap w:val="0"/>
            <w:vAlign w:val="center"/>
          </w:tcPr>
          <w:p>
            <w:pPr>
              <w:rPr>
                <w:color w:val="000000"/>
                <w:sz w:val="26"/>
                <w:szCs w:val="2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6</w:t>
            </w:r>
          </w:p>
        </w:tc>
        <w:tc>
          <w:tcPr>
            <w:tcW w:w="1451" w:type="pct"/>
            <w:noWrap w:val="0"/>
            <w:vAlign w:val="center"/>
          </w:tcPr>
          <w:p>
            <w:pPr>
              <w:textAlignment w:val="top"/>
              <w:rPr>
                <w:color w:val="000000"/>
                <w:sz w:val="24"/>
                <w:szCs w:val="24"/>
              </w:rPr>
            </w:pPr>
            <w:r>
              <w:rPr>
                <w:rFonts w:hint="eastAsia" w:ascii="Arial Unicode MS" w:hAnsi="Arial Unicode MS" w:eastAsia="Arial Unicode MS" w:cs="Arial Unicode MS"/>
                <w:color w:val="000000"/>
                <w:kern w:val="0"/>
                <w:sz w:val="24"/>
                <w:szCs w:val="24"/>
                <w:lang w:bidi="ar"/>
              </w:rPr>
              <w:t>中成药学概论</w:t>
            </w:r>
          </w:p>
        </w:tc>
        <w:tc>
          <w:tcPr>
            <w:tcW w:w="839" w:type="pct"/>
            <w:noWrap w:val="0"/>
            <w:vAlign w:val="center"/>
          </w:tcPr>
          <w:p>
            <w:pPr>
              <w:textAlignment w:val="top"/>
              <w:rPr>
                <w:color w:val="000000"/>
                <w:sz w:val="24"/>
                <w:szCs w:val="24"/>
              </w:rPr>
            </w:pPr>
            <w:r>
              <w:rPr>
                <w:color w:val="000000"/>
                <w:kern w:val="0"/>
                <w:sz w:val="24"/>
                <w:szCs w:val="24"/>
                <w:lang w:bidi="ar"/>
              </w:rPr>
              <w:t>30</w:t>
            </w:r>
          </w:p>
        </w:tc>
        <w:tc>
          <w:tcPr>
            <w:tcW w:w="698" w:type="pct"/>
            <w:noWrap w:val="0"/>
            <w:vAlign w:val="center"/>
          </w:tcPr>
          <w:p>
            <w:pPr>
              <w:rPr>
                <w:color w:val="000000"/>
                <w:sz w:val="26"/>
                <w:szCs w:val="26"/>
              </w:rPr>
            </w:pPr>
          </w:p>
        </w:tc>
        <w:tc>
          <w:tcPr>
            <w:tcW w:w="761" w:type="pct"/>
            <w:noWrap w:val="0"/>
            <w:vAlign w:val="center"/>
          </w:tcPr>
          <w:p>
            <w:pPr>
              <w:textAlignment w:val="top"/>
              <w:rPr>
                <w:color w:val="000000"/>
                <w:sz w:val="24"/>
                <w:szCs w:val="24"/>
              </w:rPr>
            </w:pPr>
            <w:r>
              <w:rPr>
                <w:color w:val="000000"/>
                <w:kern w:val="0"/>
                <w:sz w:val="24"/>
                <w:szCs w:val="24"/>
                <w:lang w:bidi="ar"/>
              </w:rPr>
              <w:t>30</w:t>
            </w:r>
          </w:p>
        </w:tc>
        <w:tc>
          <w:tcPr>
            <w:tcW w:w="821" w:type="pct"/>
            <w:noWrap w:val="0"/>
            <w:vAlign w:val="center"/>
          </w:tcPr>
          <w:p>
            <w:pPr>
              <w:rPr>
                <w:color w:val="000000"/>
                <w:sz w:val="26"/>
                <w:szCs w:val="2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7</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中医推拿学</w:t>
            </w:r>
          </w:p>
        </w:tc>
        <w:tc>
          <w:tcPr>
            <w:tcW w:w="839" w:type="pct"/>
            <w:vMerge w:val="restart"/>
            <w:noWrap w:val="0"/>
            <w:vAlign w:val="center"/>
          </w:tcPr>
          <w:p>
            <w:pPr>
              <w:textAlignment w:val="center"/>
              <w:rPr>
                <w:color w:val="000000"/>
                <w:sz w:val="24"/>
                <w:szCs w:val="24"/>
              </w:rPr>
            </w:pPr>
            <w:r>
              <w:rPr>
                <w:color w:val="000000"/>
                <w:kern w:val="0"/>
                <w:sz w:val="24"/>
                <w:szCs w:val="24"/>
                <w:lang w:bidi="ar"/>
              </w:rPr>
              <w:t>2</w:t>
            </w:r>
            <w:r>
              <w:rPr>
                <w:rFonts w:hint="eastAsia"/>
                <w:color w:val="000000"/>
                <w:kern w:val="0"/>
                <w:sz w:val="24"/>
                <w:szCs w:val="24"/>
                <w:lang w:bidi="ar"/>
              </w:rPr>
              <w:t>-</w:t>
            </w:r>
            <w:r>
              <w:rPr>
                <w:color w:val="000000"/>
                <w:kern w:val="0"/>
                <w:sz w:val="24"/>
                <w:szCs w:val="24"/>
                <w:lang w:bidi="ar"/>
              </w:rPr>
              <w:t>3</w:t>
            </w:r>
            <w:r>
              <w:rPr>
                <w:rStyle w:val="9"/>
                <w:rFonts w:hint="default"/>
                <w:color w:val="000000"/>
                <w:lang w:bidi="ar"/>
              </w:rPr>
              <w:t>门选修</w:t>
            </w:r>
            <w:r>
              <w:rPr>
                <w:rStyle w:val="10"/>
                <w:rFonts w:hint="default"/>
                <w:color w:val="000000"/>
                <w:lang w:bidi="ar"/>
              </w:rPr>
              <w:t>（</w:t>
            </w:r>
            <w:r>
              <w:rPr>
                <w:rStyle w:val="11"/>
                <w:color w:val="000000"/>
                <w:lang w:bidi="ar"/>
              </w:rPr>
              <w:t>60</w:t>
            </w:r>
            <w:r>
              <w:rPr>
                <w:rStyle w:val="10"/>
                <w:rFonts w:hint="default"/>
                <w:color w:val="000000"/>
                <w:lang w:bidi="ar"/>
              </w:rPr>
              <w:t>）</w:t>
            </w:r>
          </w:p>
        </w:tc>
        <w:tc>
          <w:tcPr>
            <w:tcW w:w="698" w:type="pct"/>
            <w:noWrap w:val="0"/>
            <w:vAlign w:val="center"/>
          </w:tcPr>
          <w:p>
            <w:pPr>
              <w:rPr>
                <w:color w:val="000000"/>
                <w:sz w:val="24"/>
                <w:szCs w:val="24"/>
              </w:rPr>
            </w:pPr>
          </w:p>
        </w:tc>
        <w:tc>
          <w:tcPr>
            <w:tcW w:w="761" w:type="pct"/>
            <w:noWrap w:val="0"/>
            <w:vAlign w:val="center"/>
          </w:tcPr>
          <w:p>
            <w:pPr>
              <w:textAlignment w:val="top"/>
              <w:rPr>
                <w:color w:val="000000"/>
                <w:sz w:val="24"/>
                <w:szCs w:val="24"/>
              </w:rPr>
            </w:pPr>
            <w:r>
              <w:rPr>
                <w:color w:val="000000"/>
                <w:kern w:val="0"/>
                <w:sz w:val="24"/>
                <w:szCs w:val="24"/>
                <w:lang w:bidi="ar"/>
              </w:rPr>
              <w:t>20</w:t>
            </w: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8</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中医经典课程</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noWrap w:val="0"/>
            <w:vAlign w:val="center"/>
          </w:tcPr>
          <w:p>
            <w:pPr>
              <w:textAlignment w:val="top"/>
              <w:rPr>
                <w:color w:val="000000"/>
                <w:sz w:val="24"/>
                <w:szCs w:val="24"/>
              </w:rPr>
            </w:pPr>
            <w:r>
              <w:rPr>
                <w:color w:val="000000"/>
                <w:kern w:val="0"/>
                <w:sz w:val="24"/>
                <w:szCs w:val="24"/>
                <w:lang w:bidi="ar"/>
              </w:rPr>
              <w:t>80</w:t>
            </w: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rFonts w:ascii="Arial" w:hAnsi="Arial" w:cs="Arial"/>
                <w:color w:val="000000"/>
              </w:rPr>
            </w:pPr>
            <w:r>
              <w:rPr>
                <w:rFonts w:ascii="Arial" w:hAnsi="Arial" w:cs="Arial"/>
                <w:color w:val="000000"/>
                <w:kern w:val="0"/>
                <w:sz w:val="22"/>
                <w:szCs w:val="22"/>
                <w:lang w:bidi="ar"/>
              </w:rPr>
              <w:t>9</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中医科研思路与方法</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noWrap w:val="0"/>
            <w:vAlign w:val="center"/>
          </w:tcPr>
          <w:p>
            <w:pPr>
              <w:textAlignment w:val="top"/>
              <w:rPr>
                <w:color w:val="000000"/>
                <w:sz w:val="24"/>
                <w:szCs w:val="24"/>
              </w:rPr>
            </w:pPr>
            <w:r>
              <w:rPr>
                <w:color w:val="000000"/>
                <w:kern w:val="0"/>
                <w:sz w:val="24"/>
                <w:szCs w:val="24"/>
                <w:lang w:bidi="ar"/>
              </w:rPr>
              <w:t>12</w:t>
            </w: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10</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中医妇科学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restart"/>
            <w:noWrap w:val="0"/>
            <w:vAlign w:val="center"/>
          </w:tcPr>
          <w:p>
            <w:pPr>
              <w:textAlignment w:val="center"/>
              <w:rPr>
                <w:color w:val="000000"/>
                <w:sz w:val="24"/>
                <w:szCs w:val="24"/>
              </w:rPr>
            </w:pPr>
            <w:r>
              <w:rPr>
                <w:color w:val="000000"/>
                <w:kern w:val="0"/>
                <w:sz w:val="24"/>
                <w:szCs w:val="24"/>
                <w:lang w:bidi="ar"/>
              </w:rPr>
              <w:t>2</w:t>
            </w:r>
            <w:r>
              <w:rPr>
                <w:rFonts w:hint="eastAsia"/>
                <w:color w:val="000000"/>
                <w:kern w:val="0"/>
                <w:sz w:val="24"/>
                <w:szCs w:val="24"/>
                <w:lang w:bidi="ar"/>
              </w:rPr>
              <w:t>-</w:t>
            </w:r>
            <w:r>
              <w:rPr>
                <w:rStyle w:val="12"/>
                <w:color w:val="000000"/>
                <w:lang w:bidi="ar"/>
              </w:rPr>
              <w:t>7</w:t>
            </w:r>
            <w:r>
              <w:rPr>
                <w:rStyle w:val="9"/>
                <w:rFonts w:hint="default"/>
                <w:color w:val="000000"/>
                <w:lang w:bidi="ar"/>
              </w:rPr>
              <w:t>门选修（</w:t>
            </w:r>
            <w:r>
              <w:rPr>
                <w:rStyle w:val="11"/>
                <w:color w:val="000000"/>
                <w:lang w:bidi="ar"/>
              </w:rPr>
              <w:t>100</w:t>
            </w:r>
            <w:r>
              <w:rPr>
                <w:rStyle w:val="10"/>
                <w:rFonts w:hint="default"/>
                <w:color w:val="000000"/>
                <w:lang w:bidi="ar"/>
              </w:rPr>
              <w:t>）</w:t>
            </w: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rFonts w:ascii="Arial" w:hAnsi="Arial" w:cs="Arial"/>
                <w:color w:val="000000"/>
                <w:sz w:val="23"/>
                <w:szCs w:val="23"/>
              </w:rPr>
            </w:pPr>
            <w:r>
              <w:rPr>
                <w:rFonts w:ascii="Arial" w:hAnsi="Arial" w:cs="Arial"/>
                <w:color w:val="000000"/>
                <w:kern w:val="0"/>
                <w:sz w:val="23"/>
                <w:szCs w:val="23"/>
                <w:lang w:bidi="ar"/>
              </w:rPr>
              <w:t>11</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中医儿科学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12</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中医骨伤科学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13</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中医耳</w:t>
            </w:r>
            <w:r>
              <w:rPr>
                <w:rStyle w:val="13"/>
                <w:rFonts w:hint="default"/>
                <w:color w:val="000000"/>
                <w:lang w:bidi="ar"/>
              </w:rPr>
              <w:t>鼻</w:t>
            </w:r>
            <w:r>
              <w:rPr>
                <w:rStyle w:val="14"/>
                <w:rFonts w:hint="default"/>
                <w:color w:val="000000"/>
                <w:lang w:bidi="ar"/>
              </w:rPr>
              <w:t>喉科学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14</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中医眼科</w:t>
            </w:r>
            <w:r>
              <w:rPr>
                <w:rStyle w:val="13"/>
                <w:rFonts w:hint="default"/>
                <w:color w:val="000000"/>
                <w:lang w:bidi="ar"/>
              </w:rPr>
              <w:t>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15</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中</w:t>
            </w:r>
            <w:r>
              <w:rPr>
                <w:rStyle w:val="13"/>
                <w:rFonts w:hint="default"/>
                <w:color w:val="000000"/>
                <w:lang w:bidi="ar"/>
              </w:rPr>
              <w:t>医</w:t>
            </w:r>
            <w:r>
              <w:rPr>
                <w:rStyle w:val="14"/>
                <w:rFonts w:hint="default"/>
                <w:color w:val="000000"/>
                <w:lang w:bidi="ar"/>
              </w:rPr>
              <w:t>外科学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16</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针灸</w:t>
            </w:r>
            <w:r>
              <w:rPr>
                <w:rStyle w:val="13"/>
                <w:rFonts w:hint="default"/>
                <w:color w:val="000000"/>
                <w:lang w:bidi="ar"/>
              </w:rPr>
              <w:t>学</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0"/>
            <w:vAlign w:val="center"/>
          </w:tcPr>
          <w:p>
            <w:pPr>
              <w:rPr>
                <w:color w:val="00000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5" w:hRule="atLeast"/>
        </w:trPr>
        <w:tc>
          <w:tcPr>
            <w:tcW w:w="428" w:type="pct"/>
            <w:noWrap w:val="0"/>
            <w:vAlign w:val="center"/>
          </w:tcPr>
          <w:p>
            <w:pPr>
              <w:textAlignment w:val="top"/>
              <w:rPr>
                <w:color w:val="000000"/>
                <w:sz w:val="24"/>
                <w:szCs w:val="24"/>
              </w:rPr>
            </w:pPr>
            <w:r>
              <w:rPr>
                <w:color w:val="000000"/>
                <w:kern w:val="0"/>
                <w:sz w:val="24"/>
                <w:szCs w:val="24"/>
                <w:lang w:bidi="ar"/>
              </w:rPr>
              <w:t>17</w:t>
            </w:r>
          </w:p>
        </w:tc>
        <w:tc>
          <w:tcPr>
            <w:tcW w:w="1451" w:type="pct"/>
            <w:noWrap w:val="0"/>
            <w:vAlign w:val="center"/>
          </w:tcPr>
          <w:p>
            <w:pPr>
              <w:textAlignment w:val="top"/>
              <w:rPr>
                <w:color w:val="000000"/>
                <w:sz w:val="23"/>
                <w:szCs w:val="23"/>
              </w:rPr>
            </w:pPr>
            <w:r>
              <w:rPr>
                <w:rFonts w:hint="eastAsia" w:ascii="Arial Unicode MS" w:hAnsi="Arial Unicode MS" w:eastAsia="Arial Unicode MS" w:cs="Arial Unicode MS"/>
                <w:color w:val="000000"/>
                <w:kern w:val="0"/>
                <w:sz w:val="23"/>
                <w:szCs w:val="23"/>
                <w:lang w:bidi="ar"/>
              </w:rPr>
              <w:t>医古文</w:t>
            </w:r>
          </w:p>
        </w:tc>
        <w:tc>
          <w:tcPr>
            <w:tcW w:w="839" w:type="pct"/>
            <w:vMerge w:val="continue"/>
            <w:noWrap w:val="0"/>
            <w:vAlign w:val="center"/>
          </w:tcPr>
          <w:p>
            <w:pPr>
              <w:rPr>
                <w:color w:val="000000"/>
                <w:sz w:val="24"/>
                <w:szCs w:val="24"/>
              </w:rPr>
            </w:pPr>
          </w:p>
        </w:tc>
        <w:tc>
          <w:tcPr>
            <w:tcW w:w="698" w:type="pct"/>
            <w:noWrap w:val="0"/>
            <w:vAlign w:val="center"/>
          </w:tcPr>
          <w:p>
            <w:pPr>
              <w:rPr>
                <w:color w:val="000000"/>
                <w:sz w:val="24"/>
                <w:szCs w:val="24"/>
              </w:rPr>
            </w:pPr>
          </w:p>
        </w:tc>
        <w:tc>
          <w:tcPr>
            <w:tcW w:w="761" w:type="pct"/>
            <w:vMerge w:val="continue"/>
            <w:noWrap w:val="0"/>
            <w:vAlign w:val="center"/>
          </w:tcPr>
          <w:p>
            <w:pPr>
              <w:rPr>
                <w:color w:val="000000"/>
                <w:sz w:val="24"/>
                <w:szCs w:val="24"/>
              </w:rPr>
            </w:pPr>
          </w:p>
        </w:tc>
        <w:tc>
          <w:tcPr>
            <w:tcW w:w="821" w:type="pct"/>
            <w:noWrap/>
            <w:vAlign w:val="center"/>
          </w:tcPr>
          <w:p>
            <w:pPr>
              <w:rPr>
                <w:rFonts w:ascii="宋体" w:hAnsi="宋体" w:cs="宋体"/>
                <w:color w:val="000000"/>
              </w:rPr>
            </w:pPr>
          </w:p>
        </w:tc>
      </w:tr>
    </w:tbl>
    <w:p>
      <w:pPr>
        <w:spacing w:line="700" w:lineRule="exact"/>
        <w:rPr>
          <w:rFonts w:hint="eastAsia" w:ascii="黑体" w:hAnsi="黑体" w:eastAsia="黑体" w:cs="黑体"/>
          <w:b/>
          <w:color w:val="000000"/>
          <w:sz w:val="32"/>
          <w:szCs w:val="32"/>
        </w:rPr>
      </w:pPr>
      <w:r>
        <w:rPr>
          <w:color w:val="000000"/>
          <w:sz w:val="31"/>
        </w:rPr>
        <w:br w:type="page"/>
      </w:r>
      <w:r>
        <w:rPr>
          <w:rFonts w:hint="eastAsia" w:ascii="黑体" w:hAnsi="黑体" w:eastAsia="黑体" w:cs="黑体"/>
          <w:b/>
          <w:color w:val="000000"/>
          <w:sz w:val="32"/>
          <w:szCs w:val="32"/>
        </w:rPr>
        <w:t>附件2：</w:t>
      </w:r>
    </w:p>
    <w:p>
      <w:pPr>
        <w:spacing w:line="700" w:lineRule="exact"/>
        <w:jc w:val="center"/>
        <w:rPr>
          <w:rFonts w:ascii="黑体" w:hAnsi="黑体" w:eastAsia="黑体" w:cs="黑体"/>
          <w:color w:val="000000"/>
          <w:sz w:val="32"/>
          <w:szCs w:val="32"/>
        </w:rPr>
      </w:pPr>
      <w:r>
        <w:rPr>
          <w:rFonts w:hint="eastAsia" w:ascii="方正小标宋简体" w:hAnsi="方正小标宋简体" w:eastAsia="方正小标宋简体" w:cs="方正小标宋简体"/>
          <w:b/>
          <w:bCs/>
          <w:color w:val="000000"/>
          <w:sz w:val="44"/>
          <w:szCs w:val="44"/>
        </w:rPr>
        <w:t>平煤神马集团总医院非中医类别医师</w:t>
      </w:r>
    </w:p>
    <w:p>
      <w:pPr>
        <w:pStyle w:val="15"/>
        <w:tabs>
          <w:tab w:val="left" w:pos="2020"/>
        </w:tabs>
        <w:adjustRightInd w:val="0"/>
        <w:snapToGrid w:val="0"/>
        <w:spacing w:line="700" w:lineRule="exact"/>
        <w:ind w:firstLine="0" w:firstLineChars="0"/>
        <w:jc w:val="center"/>
        <w:rPr>
          <w:color w:val="000000"/>
          <w:sz w:val="46"/>
        </w:rPr>
      </w:pPr>
      <w:r>
        <w:rPr>
          <w:rFonts w:hint="eastAsia" w:ascii="方正小标宋简体" w:hAnsi="方正小标宋简体" w:eastAsia="方正小标宋简体" w:cs="方正小标宋简体"/>
          <w:b/>
          <w:bCs/>
          <w:color w:val="000000"/>
          <w:sz w:val="44"/>
          <w:szCs w:val="44"/>
        </w:rPr>
        <w:t>学习中医培训报名表</w:t>
      </w:r>
    </w:p>
    <w:tbl>
      <w:tblPr>
        <w:tblStyle w:val="6"/>
        <w:tblW w:w="9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337"/>
        <w:gridCol w:w="720"/>
        <w:gridCol w:w="548"/>
        <w:gridCol w:w="37"/>
        <w:gridCol w:w="975"/>
        <w:gridCol w:w="192"/>
        <w:gridCol w:w="350"/>
        <w:gridCol w:w="735"/>
        <w:gridCol w:w="1211"/>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630" w:type="dxa"/>
            <w:noWrap/>
            <w:vAlign w:val="center"/>
          </w:tcPr>
          <w:p>
            <w:pPr>
              <w:jc w:val="center"/>
              <w:rPr>
                <w:rFonts w:ascii="宋体" w:hAnsi="宋体" w:cs="宋体"/>
                <w:color w:val="000000"/>
                <w:szCs w:val="21"/>
              </w:rPr>
            </w:pPr>
            <w:r>
              <w:rPr>
                <w:rFonts w:hint="eastAsia" w:ascii="宋体" w:hAnsi="宋体" w:cs="宋体"/>
                <w:color w:val="000000"/>
                <w:szCs w:val="21"/>
              </w:rPr>
              <w:t>姓名</w:t>
            </w:r>
          </w:p>
        </w:tc>
        <w:tc>
          <w:tcPr>
            <w:tcW w:w="1337" w:type="dxa"/>
            <w:noWrap/>
            <w:vAlign w:val="center"/>
          </w:tcPr>
          <w:p>
            <w:pPr>
              <w:jc w:val="center"/>
              <w:rPr>
                <w:rFonts w:ascii="宋体" w:hAnsi="宋体" w:cs="宋体"/>
                <w:color w:val="000000"/>
                <w:szCs w:val="21"/>
              </w:rPr>
            </w:pPr>
          </w:p>
        </w:tc>
        <w:tc>
          <w:tcPr>
            <w:tcW w:w="720" w:type="dxa"/>
            <w:noWrap/>
            <w:vAlign w:val="center"/>
          </w:tcPr>
          <w:p>
            <w:pPr>
              <w:jc w:val="center"/>
              <w:rPr>
                <w:rFonts w:ascii="宋体" w:hAnsi="宋体" w:cs="宋体"/>
                <w:color w:val="000000"/>
                <w:szCs w:val="21"/>
              </w:rPr>
            </w:pPr>
            <w:r>
              <w:rPr>
                <w:rFonts w:hint="eastAsia" w:ascii="宋体" w:hAnsi="宋体" w:cs="宋体"/>
                <w:color w:val="000000"/>
                <w:szCs w:val="21"/>
              </w:rPr>
              <w:t>性别</w:t>
            </w:r>
          </w:p>
        </w:tc>
        <w:tc>
          <w:tcPr>
            <w:tcW w:w="585" w:type="dxa"/>
            <w:gridSpan w:val="2"/>
            <w:noWrap/>
            <w:vAlign w:val="center"/>
          </w:tcPr>
          <w:p>
            <w:pPr>
              <w:jc w:val="center"/>
              <w:rPr>
                <w:rFonts w:ascii="宋体" w:hAnsi="宋体" w:cs="宋体"/>
                <w:color w:val="000000"/>
                <w:szCs w:val="21"/>
              </w:rPr>
            </w:pPr>
          </w:p>
        </w:tc>
        <w:tc>
          <w:tcPr>
            <w:tcW w:w="975" w:type="dxa"/>
            <w:noWrap/>
            <w:vAlign w:val="center"/>
          </w:tcPr>
          <w:p>
            <w:pPr>
              <w:jc w:val="center"/>
              <w:rPr>
                <w:rFonts w:ascii="宋体" w:hAnsi="宋体" w:cs="宋体"/>
                <w:color w:val="000000"/>
                <w:szCs w:val="21"/>
              </w:rPr>
            </w:pPr>
            <w:r>
              <w:rPr>
                <w:rFonts w:hint="eastAsia" w:ascii="宋体" w:hAnsi="宋体" w:cs="宋体"/>
                <w:color w:val="000000"/>
                <w:szCs w:val="21"/>
              </w:rPr>
              <w:t>年龄</w:t>
            </w:r>
          </w:p>
        </w:tc>
        <w:tc>
          <w:tcPr>
            <w:tcW w:w="542" w:type="dxa"/>
            <w:gridSpan w:val="2"/>
            <w:noWrap/>
            <w:vAlign w:val="center"/>
          </w:tcPr>
          <w:p>
            <w:pPr>
              <w:jc w:val="center"/>
              <w:rPr>
                <w:rFonts w:ascii="宋体" w:hAnsi="宋体" w:cs="宋体"/>
                <w:color w:val="000000"/>
                <w:szCs w:val="21"/>
              </w:rPr>
            </w:pPr>
          </w:p>
        </w:tc>
        <w:tc>
          <w:tcPr>
            <w:tcW w:w="735" w:type="dxa"/>
            <w:noWrap/>
            <w:vAlign w:val="center"/>
          </w:tcPr>
          <w:p>
            <w:pPr>
              <w:jc w:val="center"/>
              <w:rPr>
                <w:rFonts w:ascii="宋体" w:hAnsi="宋体" w:cs="宋体"/>
                <w:color w:val="000000"/>
                <w:szCs w:val="21"/>
              </w:rPr>
            </w:pPr>
            <w:r>
              <w:rPr>
                <w:rFonts w:hint="eastAsia" w:ascii="宋体" w:hAnsi="宋体" w:cs="宋体"/>
                <w:color w:val="000000"/>
                <w:szCs w:val="21"/>
              </w:rPr>
              <w:t>民族</w:t>
            </w:r>
          </w:p>
        </w:tc>
        <w:tc>
          <w:tcPr>
            <w:tcW w:w="1211" w:type="dxa"/>
            <w:noWrap/>
            <w:vAlign w:val="center"/>
          </w:tcPr>
          <w:p>
            <w:pPr>
              <w:jc w:val="center"/>
              <w:rPr>
                <w:rFonts w:ascii="宋体" w:hAnsi="宋体" w:cs="宋体"/>
                <w:color w:val="000000"/>
                <w:szCs w:val="21"/>
              </w:rPr>
            </w:pPr>
          </w:p>
        </w:tc>
        <w:tc>
          <w:tcPr>
            <w:tcW w:w="1710" w:type="dxa"/>
            <w:vMerge w:val="restart"/>
            <w:noWrap/>
            <w:vAlign w:val="center"/>
          </w:tcPr>
          <w:p>
            <w:pPr>
              <w:jc w:val="center"/>
              <w:rPr>
                <w:rFonts w:ascii="宋体" w:hAnsi="宋体" w:cs="宋体"/>
                <w:color w:val="000000"/>
                <w:szCs w:val="21"/>
              </w:rPr>
            </w:pPr>
            <w:r>
              <w:rPr>
                <w:rFonts w:hint="eastAsia" w:ascii="宋体" w:hAnsi="宋体" w:cs="宋体"/>
                <w:color w:val="000000"/>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630" w:type="dxa"/>
            <w:noWrap/>
            <w:vAlign w:val="center"/>
          </w:tcPr>
          <w:p>
            <w:pPr>
              <w:jc w:val="center"/>
              <w:rPr>
                <w:rFonts w:ascii="宋体" w:hAnsi="宋体" w:cs="宋体"/>
                <w:color w:val="000000"/>
                <w:szCs w:val="21"/>
              </w:rPr>
            </w:pPr>
            <w:r>
              <w:rPr>
                <w:rFonts w:hint="eastAsia" w:ascii="宋体" w:hAnsi="宋体" w:cs="宋体"/>
                <w:color w:val="000000"/>
                <w:szCs w:val="21"/>
              </w:rPr>
              <w:t>联系方式</w:t>
            </w:r>
          </w:p>
        </w:tc>
        <w:tc>
          <w:tcPr>
            <w:tcW w:w="2057" w:type="dxa"/>
            <w:gridSpan w:val="2"/>
            <w:noWrap/>
            <w:vAlign w:val="center"/>
          </w:tcPr>
          <w:p>
            <w:pPr>
              <w:jc w:val="center"/>
              <w:rPr>
                <w:rFonts w:ascii="宋体" w:hAnsi="宋体" w:cs="宋体"/>
                <w:color w:val="000000"/>
                <w:szCs w:val="21"/>
              </w:rPr>
            </w:pPr>
          </w:p>
        </w:tc>
        <w:tc>
          <w:tcPr>
            <w:tcW w:w="1560" w:type="dxa"/>
            <w:gridSpan w:val="3"/>
            <w:noWrap/>
            <w:vAlign w:val="center"/>
          </w:tcPr>
          <w:p>
            <w:pPr>
              <w:jc w:val="center"/>
              <w:rPr>
                <w:rFonts w:ascii="宋体" w:hAnsi="宋体" w:cs="宋体"/>
                <w:color w:val="000000"/>
                <w:szCs w:val="21"/>
              </w:rPr>
            </w:pPr>
            <w:r>
              <w:rPr>
                <w:rFonts w:hint="eastAsia" w:ascii="宋体" w:hAnsi="宋体" w:cs="宋体"/>
                <w:color w:val="000000"/>
                <w:szCs w:val="21"/>
              </w:rPr>
              <w:t>卫生专业学历</w:t>
            </w:r>
          </w:p>
        </w:tc>
        <w:tc>
          <w:tcPr>
            <w:tcW w:w="2488" w:type="dxa"/>
            <w:gridSpan w:val="4"/>
            <w:noWrap/>
            <w:vAlign w:val="center"/>
          </w:tcPr>
          <w:p>
            <w:pPr>
              <w:jc w:val="center"/>
              <w:rPr>
                <w:rFonts w:ascii="宋体" w:hAnsi="宋体" w:cs="宋体"/>
                <w:color w:val="000000"/>
                <w:szCs w:val="21"/>
              </w:rPr>
            </w:pPr>
          </w:p>
        </w:tc>
        <w:tc>
          <w:tcPr>
            <w:tcW w:w="1710" w:type="dxa"/>
            <w:vMerge w:val="continue"/>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30" w:type="dxa"/>
            <w:noWrap/>
            <w:vAlign w:val="center"/>
          </w:tcPr>
          <w:p>
            <w:pPr>
              <w:jc w:val="center"/>
              <w:rPr>
                <w:rFonts w:ascii="宋体" w:hAnsi="宋体" w:cs="宋体"/>
                <w:color w:val="000000"/>
                <w:szCs w:val="21"/>
              </w:rPr>
            </w:pPr>
            <w:r>
              <w:rPr>
                <w:rFonts w:hint="eastAsia" w:ascii="宋体" w:hAnsi="宋体" w:cs="宋体"/>
                <w:color w:val="000000"/>
                <w:szCs w:val="21"/>
              </w:rPr>
              <w:t>从事工作岗位</w:t>
            </w:r>
          </w:p>
        </w:tc>
        <w:tc>
          <w:tcPr>
            <w:tcW w:w="2057" w:type="dxa"/>
            <w:gridSpan w:val="2"/>
            <w:noWrap/>
            <w:vAlign w:val="center"/>
          </w:tcPr>
          <w:p>
            <w:pPr>
              <w:jc w:val="center"/>
              <w:rPr>
                <w:rFonts w:ascii="宋体" w:hAnsi="宋体" w:cs="宋体"/>
                <w:color w:val="000000"/>
                <w:szCs w:val="21"/>
              </w:rPr>
            </w:pPr>
          </w:p>
        </w:tc>
        <w:tc>
          <w:tcPr>
            <w:tcW w:w="1560" w:type="dxa"/>
            <w:gridSpan w:val="3"/>
            <w:noWrap/>
            <w:vAlign w:val="center"/>
          </w:tcPr>
          <w:p>
            <w:pPr>
              <w:jc w:val="center"/>
              <w:rPr>
                <w:rFonts w:ascii="宋体" w:hAnsi="宋体" w:cs="宋体"/>
                <w:color w:val="000000"/>
                <w:szCs w:val="21"/>
              </w:rPr>
            </w:pPr>
            <w:r>
              <w:rPr>
                <w:rFonts w:hint="eastAsia" w:ascii="宋体" w:hAnsi="宋体" w:cs="宋体"/>
                <w:color w:val="000000"/>
                <w:szCs w:val="21"/>
              </w:rPr>
              <w:t>专业技术职称</w:t>
            </w:r>
          </w:p>
        </w:tc>
        <w:tc>
          <w:tcPr>
            <w:tcW w:w="2488" w:type="dxa"/>
            <w:gridSpan w:val="4"/>
            <w:noWrap/>
            <w:vAlign w:val="center"/>
          </w:tcPr>
          <w:p>
            <w:pPr>
              <w:jc w:val="center"/>
              <w:rPr>
                <w:rFonts w:ascii="宋体" w:hAnsi="宋体" w:cs="宋体"/>
                <w:color w:val="000000"/>
                <w:szCs w:val="21"/>
              </w:rPr>
            </w:pPr>
          </w:p>
        </w:tc>
        <w:tc>
          <w:tcPr>
            <w:tcW w:w="1710" w:type="dxa"/>
            <w:vMerge w:val="continue"/>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30" w:type="dxa"/>
            <w:noWrap/>
            <w:vAlign w:val="center"/>
          </w:tcPr>
          <w:p>
            <w:pPr>
              <w:jc w:val="center"/>
              <w:rPr>
                <w:rFonts w:ascii="宋体" w:hAnsi="宋体" w:cs="宋体"/>
                <w:color w:val="000000"/>
                <w:szCs w:val="21"/>
              </w:rPr>
            </w:pPr>
            <w:r>
              <w:rPr>
                <w:rFonts w:hint="eastAsia" w:ascii="宋体" w:hAnsi="宋体" w:cs="宋体"/>
                <w:color w:val="000000"/>
                <w:szCs w:val="21"/>
              </w:rPr>
              <w:t>执业资格（填执业医师或执业助理医师）</w:t>
            </w:r>
          </w:p>
        </w:tc>
        <w:tc>
          <w:tcPr>
            <w:tcW w:w="2057" w:type="dxa"/>
            <w:gridSpan w:val="2"/>
            <w:noWrap/>
            <w:vAlign w:val="center"/>
          </w:tcPr>
          <w:p>
            <w:pPr>
              <w:jc w:val="center"/>
              <w:rPr>
                <w:rFonts w:ascii="宋体" w:hAnsi="宋体" w:cs="宋体"/>
                <w:color w:val="000000"/>
                <w:szCs w:val="21"/>
              </w:rPr>
            </w:pPr>
          </w:p>
        </w:tc>
        <w:tc>
          <w:tcPr>
            <w:tcW w:w="1560" w:type="dxa"/>
            <w:gridSpan w:val="3"/>
            <w:noWrap/>
            <w:vAlign w:val="center"/>
          </w:tcPr>
          <w:p>
            <w:pPr>
              <w:jc w:val="center"/>
              <w:rPr>
                <w:rFonts w:ascii="宋体" w:hAnsi="宋体" w:cs="宋体"/>
                <w:color w:val="000000"/>
                <w:szCs w:val="21"/>
              </w:rPr>
            </w:pPr>
            <w:r>
              <w:rPr>
                <w:rFonts w:hint="eastAsia" w:ascii="宋体" w:hAnsi="宋体" w:cs="宋体"/>
                <w:color w:val="000000"/>
                <w:szCs w:val="21"/>
              </w:rPr>
              <w:t>现工作单位（具体到市、县、镇、村）</w:t>
            </w:r>
          </w:p>
        </w:tc>
        <w:tc>
          <w:tcPr>
            <w:tcW w:w="2488" w:type="dxa"/>
            <w:gridSpan w:val="4"/>
            <w:noWrap/>
            <w:vAlign w:val="center"/>
          </w:tcPr>
          <w:p>
            <w:pPr>
              <w:jc w:val="center"/>
              <w:rPr>
                <w:rFonts w:ascii="宋体" w:hAnsi="宋体" w:cs="宋体"/>
                <w:color w:val="000000"/>
                <w:szCs w:val="21"/>
              </w:rPr>
            </w:pPr>
          </w:p>
        </w:tc>
        <w:tc>
          <w:tcPr>
            <w:tcW w:w="1710" w:type="dxa"/>
            <w:vMerge w:val="continue"/>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0" w:type="dxa"/>
            <w:vMerge w:val="restart"/>
            <w:noWrap/>
            <w:vAlign w:val="center"/>
          </w:tcPr>
          <w:p>
            <w:pPr>
              <w:jc w:val="center"/>
              <w:rPr>
                <w:rFonts w:ascii="宋体" w:hAnsi="宋体" w:cs="宋体"/>
                <w:color w:val="000000"/>
                <w:szCs w:val="21"/>
              </w:rPr>
            </w:pPr>
            <w:r>
              <w:rPr>
                <w:rFonts w:hint="eastAsia" w:ascii="宋体" w:hAnsi="宋体" w:cs="宋体"/>
                <w:color w:val="000000"/>
                <w:szCs w:val="21"/>
              </w:rPr>
              <w:t>主要培训经历</w:t>
            </w:r>
          </w:p>
        </w:tc>
        <w:tc>
          <w:tcPr>
            <w:tcW w:w="2057" w:type="dxa"/>
            <w:gridSpan w:val="2"/>
            <w:noWrap/>
            <w:vAlign w:val="center"/>
          </w:tcPr>
          <w:p>
            <w:pPr>
              <w:jc w:val="center"/>
              <w:rPr>
                <w:rFonts w:ascii="宋体" w:hAnsi="宋体" w:cs="宋体"/>
                <w:color w:val="000000"/>
                <w:szCs w:val="21"/>
              </w:rPr>
            </w:pPr>
            <w:r>
              <w:rPr>
                <w:rFonts w:hint="eastAsia" w:ascii="宋体" w:hAnsi="宋体" w:cs="宋体"/>
                <w:color w:val="000000"/>
                <w:szCs w:val="21"/>
              </w:rPr>
              <w:t>起止年月</w:t>
            </w:r>
          </w:p>
        </w:tc>
        <w:tc>
          <w:tcPr>
            <w:tcW w:w="5758" w:type="dxa"/>
            <w:gridSpan w:val="8"/>
            <w:noWrap/>
            <w:vAlign w:val="center"/>
          </w:tcPr>
          <w:p>
            <w:pPr>
              <w:jc w:val="center"/>
              <w:rPr>
                <w:rFonts w:ascii="宋体" w:hAnsi="宋体" w:cs="宋体"/>
                <w:color w:val="000000"/>
                <w:szCs w:val="21"/>
              </w:rPr>
            </w:pPr>
            <w:r>
              <w:rPr>
                <w:rFonts w:hint="eastAsia" w:ascii="宋体" w:hAnsi="宋体" w:cs="宋体"/>
                <w:color w:val="000000"/>
                <w:szCs w:val="21"/>
              </w:rPr>
              <w:t>培训项目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0" w:type="dxa"/>
            <w:vMerge w:val="continue"/>
            <w:noWrap/>
            <w:vAlign w:val="center"/>
          </w:tcPr>
          <w:p>
            <w:pPr>
              <w:jc w:val="center"/>
              <w:rPr>
                <w:rFonts w:ascii="宋体" w:hAnsi="宋体" w:cs="宋体"/>
                <w:color w:val="000000"/>
                <w:szCs w:val="21"/>
              </w:rPr>
            </w:pPr>
          </w:p>
        </w:tc>
        <w:tc>
          <w:tcPr>
            <w:tcW w:w="2057" w:type="dxa"/>
            <w:gridSpan w:val="2"/>
            <w:noWrap/>
            <w:vAlign w:val="center"/>
          </w:tcPr>
          <w:p>
            <w:pPr>
              <w:jc w:val="center"/>
              <w:rPr>
                <w:rFonts w:ascii="宋体" w:hAnsi="宋体" w:cs="宋体"/>
                <w:color w:val="000000"/>
                <w:szCs w:val="21"/>
              </w:rPr>
            </w:pPr>
          </w:p>
        </w:tc>
        <w:tc>
          <w:tcPr>
            <w:tcW w:w="5758" w:type="dxa"/>
            <w:gridSpan w:val="8"/>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0" w:type="dxa"/>
            <w:vMerge w:val="continue"/>
            <w:noWrap/>
            <w:vAlign w:val="center"/>
          </w:tcPr>
          <w:p>
            <w:pPr>
              <w:jc w:val="center"/>
              <w:rPr>
                <w:rFonts w:ascii="宋体" w:hAnsi="宋体" w:cs="宋体"/>
                <w:color w:val="000000"/>
                <w:szCs w:val="21"/>
              </w:rPr>
            </w:pPr>
          </w:p>
        </w:tc>
        <w:tc>
          <w:tcPr>
            <w:tcW w:w="2057" w:type="dxa"/>
            <w:gridSpan w:val="2"/>
            <w:noWrap/>
            <w:vAlign w:val="center"/>
          </w:tcPr>
          <w:p>
            <w:pPr>
              <w:jc w:val="center"/>
              <w:rPr>
                <w:rFonts w:ascii="宋体" w:hAnsi="宋体" w:cs="宋体"/>
                <w:color w:val="000000"/>
                <w:szCs w:val="21"/>
              </w:rPr>
            </w:pPr>
          </w:p>
        </w:tc>
        <w:tc>
          <w:tcPr>
            <w:tcW w:w="5758" w:type="dxa"/>
            <w:gridSpan w:val="8"/>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0" w:type="dxa"/>
            <w:vMerge w:val="continue"/>
            <w:noWrap/>
            <w:vAlign w:val="center"/>
          </w:tcPr>
          <w:p>
            <w:pPr>
              <w:jc w:val="center"/>
              <w:rPr>
                <w:rFonts w:ascii="宋体" w:hAnsi="宋体" w:cs="宋体"/>
                <w:color w:val="000000"/>
                <w:szCs w:val="21"/>
              </w:rPr>
            </w:pPr>
          </w:p>
        </w:tc>
        <w:tc>
          <w:tcPr>
            <w:tcW w:w="2057" w:type="dxa"/>
            <w:gridSpan w:val="2"/>
            <w:noWrap/>
            <w:vAlign w:val="center"/>
          </w:tcPr>
          <w:p>
            <w:pPr>
              <w:jc w:val="center"/>
              <w:rPr>
                <w:rFonts w:ascii="宋体" w:hAnsi="宋体" w:cs="宋体"/>
                <w:color w:val="000000"/>
                <w:szCs w:val="21"/>
              </w:rPr>
            </w:pPr>
          </w:p>
        </w:tc>
        <w:tc>
          <w:tcPr>
            <w:tcW w:w="5758" w:type="dxa"/>
            <w:gridSpan w:val="8"/>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30" w:type="dxa"/>
            <w:noWrap/>
            <w:vAlign w:val="center"/>
          </w:tcPr>
          <w:p>
            <w:pPr>
              <w:jc w:val="center"/>
              <w:rPr>
                <w:rFonts w:hint="eastAsia" w:ascii="宋体" w:hAnsi="宋体" w:cs="宋体" w:eastAsiaTheme="minorEastAsia"/>
                <w:color w:val="000000"/>
                <w:szCs w:val="21"/>
                <w:lang w:eastAsia="zh-CN"/>
              </w:rPr>
            </w:pPr>
            <w:r>
              <w:rPr>
                <w:rFonts w:hint="eastAsia" w:ascii="宋体" w:hAnsi="宋体" w:cs="宋体"/>
                <w:color w:val="000000"/>
                <w:szCs w:val="21"/>
                <w:lang w:eastAsia="zh-CN"/>
              </w:rPr>
              <w:t>身份证号</w:t>
            </w:r>
          </w:p>
        </w:tc>
        <w:tc>
          <w:tcPr>
            <w:tcW w:w="2605" w:type="dxa"/>
            <w:gridSpan w:val="3"/>
            <w:noWrap/>
            <w:vAlign w:val="center"/>
          </w:tcPr>
          <w:p>
            <w:pPr>
              <w:jc w:val="center"/>
              <w:rPr>
                <w:rFonts w:ascii="宋体" w:hAnsi="宋体" w:cs="宋体"/>
                <w:color w:val="000000"/>
                <w:szCs w:val="21"/>
              </w:rPr>
            </w:pPr>
          </w:p>
        </w:tc>
        <w:tc>
          <w:tcPr>
            <w:tcW w:w="1204" w:type="dxa"/>
            <w:gridSpan w:val="3"/>
            <w:noWrap/>
            <w:vAlign w:val="center"/>
          </w:tcPr>
          <w:p>
            <w:pPr>
              <w:jc w:val="both"/>
              <w:rPr>
                <w:rFonts w:hint="eastAsia" w:ascii="宋体" w:hAnsi="宋体" w:cs="宋体" w:eastAsiaTheme="minorEastAsia"/>
                <w:color w:val="000000"/>
                <w:szCs w:val="21"/>
                <w:lang w:eastAsia="zh-CN"/>
              </w:rPr>
            </w:pPr>
            <w:r>
              <w:rPr>
                <w:rFonts w:hint="eastAsia" w:ascii="宋体" w:hAnsi="宋体" w:cs="宋体"/>
                <w:color w:val="000000"/>
                <w:szCs w:val="21"/>
                <w:lang w:eastAsia="zh-CN"/>
              </w:rPr>
              <w:t>培训期限</w:t>
            </w:r>
          </w:p>
        </w:tc>
        <w:tc>
          <w:tcPr>
            <w:tcW w:w="4006" w:type="dxa"/>
            <w:gridSpan w:val="4"/>
            <w:noWrap/>
            <w:vAlign w:val="center"/>
          </w:tcPr>
          <w:p>
            <w:pPr>
              <w:jc w:val="center"/>
              <w:rPr>
                <w:rFonts w:hint="default" w:ascii="宋体" w:hAnsi="宋体" w:cs="宋体" w:eastAsiaTheme="minorEastAsia"/>
                <w:color w:val="000000"/>
                <w:sz w:val="22"/>
                <w:szCs w:val="22"/>
                <w:lang w:val="en-US" w:eastAsia="zh-CN"/>
              </w:rPr>
            </w:pPr>
            <w:r>
              <w:rPr>
                <w:rFonts w:hint="eastAsia" w:ascii="宋体" w:hAnsi="宋体" w:cs="宋体"/>
                <w:color w:val="000000"/>
                <w:sz w:val="22"/>
                <w:szCs w:val="22"/>
                <w:lang w:val="en-US" w:eastAsia="zh-CN"/>
              </w:rPr>
              <w:sym w:font="Wingdings 2" w:char="00A3"/>
            </w:r>
            <w:r>
              <w:rPr>
                <w:rFonts w:hint="eastAsia" w:ascii="宋体" w:hAnsi="宋体" w:cs="宋体"/>
                <w:color w:val="000000"/>
                <w:sz w:val="22"/>
                <w:szCs w:val="22"/>
                <w:lang w:val="en-US" w:eastAsia="zh-CN"/>
              </w:rPr>
              <w:t xml:space="preserve">1年期      </w:t>
            </w:r>
            <w:r>
              <w:rPr>
                <w:rFonts w:hint="eastAsia" w:ascii="宋体" w:hAnsi="宋体" w:cs="宋体"/>
                <w:color w:val="000000"/>
                <w:sz w:val="22"/>
                <w:szCs w:val="22"/>
                <w:lang w:val="en-US" w:eastAsia="zh-CN"/>
              </w:rPr>
              <w:sym w:font="Wingdings 2" w:char="00A3"/>
            </w:r>
            <w:r>
              <w:rPr>
                <w:rFonts w:hint="eastAsia" w:ascii="宋体" w:hAnsi="宋体" w:cs="宋体"/>
                <w:color w:val="000000"/>
                <w:sz w:val="22"/>
                <w:szCs w:val="22"/>
                <w:lang w:val="en-US" w:eastAsia="zh-CN"/>
              </w:rPr>
              <w:t>2年期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630" w:type="dxa"/>
            <w:noWrap/>
            <w:vAlign w:val="center"/>
          </w:tcPr>
          <w:p>
            <w:pPr>
              <w:jc w:val="center"/>
              <w:rPr>
                <w:rFonts w:hint="eastAsia" w:ascii="宋体" w:hAnsi="宋体" w:cs="宋体" w:eastAsiaTheme="minorEastAsia"/>
                <w:color w:val="000000"/>
                <w:szCs w:val="21"/>
                <w:lang w:eastAsia="zh-CN"/>
              </w:rPr>
            </w:pPr>
            <w:r>
              <w:rPr>
                <w:rFonts w:hint="eastAsia" w:ascii="宋体" w:hAnsi="宋体" w:cs="宋体"/>
                <w:color w:val="000000"/>
                <w:szCs w:val="21"/>
                <w:lang w:eastAsia="zh-CN"/>
              </w:rPr>
              <w:t>执业医师证号</w:t>
            </w:r>
          </w:p>
        </w:tc>
        <w:tc>
          <w:tcPr>
            <w:tcW w:w="7815" w:type="dxa"/>
            <w:gridSpan w:val="10"/>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1" w:hRule="atLeast"/>
          <w:jc w:val="center"/>
        </w:trPr>
        <w:tc>
          <w:tcPr>
            <w:tcW w:w="1630" w:type="dxa"/>
            <w:noWrap/>
            <w:vAlign w:val="center"/>
          </w:tcPr>
          <w:p>
            <w:pPr>
              <w:jc w:val="center"/>
              <w:rPr>
                <w:rFonts w:ascii="宋体" w:hAnsi="宋体" w:cs="宋体"/>
                <w:color w:val="000000"/>
                <w:szCs w:val="21"/>
              </w:rPr>
            </w:pPr>
            <w:r>
              <w:rPr>
                <w:rFonts w:hint="eastAsia" w:ascii="宋体" w:hAnsi="宋体" w:cs="宋体"/>
                <w:color w:val="000000"/>
                <w:szCs w:val="21"/>
                <w:lang w:eastAsia="zh-CN"/>
              </w:rPr>
              <w:t>单位</w:t>
            </w:r>
            <w:r>
              <w:rPr>
                <w:rFonts w:hint="eastAsia" w:ascii="宋体" w:hAnsi="宋体" w:cs="宋体"/>
                <w:color w:val="000000"/>
                <w:szCs w:val="21"/>
              </w:rPr>
              <w:t>意见</w:t>
            </w:r>
          </w:p>
        </w:tc>
        <w:tc>
          <w:tcPr>
            <w:tcW w:w="7815" w:type="dxa"/>
            <w:gridSpan w:val="10"/>
            <w:noWrap/>
            <w:vAlign w:val="center"/>
          </w:tcPr>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r>
              <w:rPr>
                <w:rFonts w:hint="eastAsia" w:ascii="宋体" w:hAnsi="宋体" w:cs="宋体"/>
                <w:color w:val="000000"/>
                <w:szCs w:val="21"/>
                <w:lang w:eastAsia="zh-CN"/>
              </w:rPr>
              <w:t>院长</w:t>
            </w:r>
            <w:r>
              <w:rPr>
                <w:rFonts w:hint="eastAsia" w:ascii="宋体" w:hAnsi="宋体" w:cs="宋体"/>
                <w:color w:val="000000"/>
                <w:szCs w:val="21"/>
              </w:rPr>
              <w:t>签字：</w:t>
            </w:r>
          </w:p>
          <w:p>
            <w:pPr>
              <w:jc w:val="center"/>
              <w:rPr>
                <w:rFonts w:ascii="宋体" w:hAnsi="宋体" w:cs="宋体"/>
                <w:color w:val="000000"/>
                <w:szCs w:val="21"/>
              </w:rPr>
            </w:pPr>
            <w:r>
              <w:rPr>
                <w:rFonts w:hint="eastAsia" w:ascii="宋体" w:hAnsi="宋体" w:cs="宋体"/>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630" w:type="dxa"/>
            <w:noWrap/>
            <w:vAlign w:val="center"/>
          </w:tcPr>
          <w:p>
            <w:pPr>
              <w:jc w:val="center"/>
              <w:rPr>
                <w:rFonts w:ascii="宋体" w:hAnsi="宋体" w:cs="宋体"/>
                <w:color w:val="000000"/>
                <w:szCs w:val="21"/>
              </w:rPr>
            </w:pPr>
            <w:r>
              <w:rPr>
                <w:rFonts w:hint="eastAsia" w:ascii="宋体" w:hAnsi="宋体" w:cs="宋体"/>
                <w:color w:val="000000"/>
                <w:szCs w:val="21"/>
              </w:rPr>
              <w:t>备注</w:t>
            </w:r>
          </w:p>
        </w:tc>
        <w:tc>
          <w:tcPr>
            <w:tcW w:w="7815" w:type="dxa"/>
            <w:gridSpan w:val="10"/>
            <w:noWrap/>
            <w:vAlign w:val="center"/>
          </w:tcPr>
          <w:p>
            <w:pPr>
              <w:jc w:val="center"/>
              <w:rPr>
                <w:rFonts w:ascii="宋体" w:hAnsi="宋体" w:cs="宋体"/>
                <w:color w:val="000000"/>
                <w:szCs w:val="21"/>
              </w:rPr>
            </w:pPr>
          </w:p>
        </w:tc>
      </w:tr>
    </w:tbl>
    <w:p>
      <w:pPr>
        <w:adjustRightInd w:val="0"/>
        <w:snapToGrid w:val="0"/>
        <w:spacing w:line="560" w:lineRule="exact"/>
        <w:rPr>
          <w:color w:val="000000"/>
          <w:sz w:val="13"/>
        </w:rPr>
        <w:sectPr>
          <w:footerReference r:id="rId3" w:type="default"/>
          <w:pgSz w:w="11906" w:h="16838"/>
          <w:pgMar w:top="2098" w:right="1474" w:bottom="1984" w:left="1587" w:header="850" w:footer="992" w:gutter="0"/>
          <w:cols w:space="720" w:num="1"/>
        </w:sectPr>
      </w:pPr>
    </w:p>
    <w:p>
      <w:pPr>
        <w:spacing w:line="700" w:lineRule="exact"/>
        <w:rPr>
          <w:rFonts w:ascii="黑体" w:hAnsi="黑体" w:eastAsia="黑体" w:cs="黑体"/>
          <w:b/>
          <w:color w:val="000000"/>
          <w:sz w:val="32"/>
          <w:szCs w:val="32"/>
        </w:rPr>
      </w:pPr>
      <w:r>
        <w:rPr>
          <w:rFonts w:ascii="黑体" w:hAnsi="黑体" w:eastAsia="黑体" w:cs="黑体"/>
          <w:b/>
          <w:color w:val="000000"/>
          <w:sz w:val="32"/>
          <w:szCs w:val="32"/>
        </w:rPr>
        <w:t>附件3</w:t>
      </w:r>
      <w:r>
        <w:rPr>
          <w:rFonts w:hint="eastAsia" w:ascii="黑体" w:hAnsi="黑体" w:eastAsia="黑体" w:cs="黑体"/>
          <w:b/>
          <w:color w:val="000000"/>
          <w:sz w:val="32"/>
          <w:szCs w:val="32"/>
        </w:rPr>
        <w:t>：</w:t>
      </w:r>
    </w:p>
    <w:p>
      <w:pPr>
        <w:spacing w:line="700" w:lineRule="exact"/>
        <w:jc w:val="center"/>
        <w:rPr>
          <w:rFonts w:hint="eastAsia"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b/>
          <w:bCs/>
          <w:color w:val="000000"/>
          <w:sz w:val="44"/>
          <w:szCs w:val="44"/>
          <w:lang w:eastAsia="zh-CN"/>
        </w:rPr>
        <w:t>平煤神马医疗集团总医院</w:t>
      </w:r>
      <w:r>
        <w:rPr>
          <w:rFonts w:hint="eastAsia" w:ascii="方正小标宋简体" w:hAnsi="方正小标宋简体" w:eastAsia="方正小标宋简体" w:cs="方正小标宋简体"/>
          <w:b/>
          <w:bCs/>
          <w:color w:val="000000"/>
          <w:sz w:val="44"/>
          <w:szCs w:val="44"/>
        </w:rPr>
        <w:t>非中医类别医师学习中医培训</w:t>
      </w:r>
      <w:r>
        <w:rPr>
          <w:rFonts w:hint="eastAsia" w:ascii="方正小标宋简体" w:hAnsi="方正小标宋简体" w:eastAsia="方正小标宋简体" w:cs="方正小标宋简体"/>
          <w:b/>
          <w:bCs/>
          <w:color w:val="000000"/>
          <w:sz w:val="44"/>
          <w:szCs w:val="44"/>
          <w:lang w:eastAsia="zh-CN"/>
        </w:rPr>
        <w:t>报名</w:t>
      </w:r>
      <w:r>
        <w:rPr>
          <w:rFonts w:hint="eastAsia" w:ascii="方正小标宋简体" w:hAnsi="方正小标宋简体" w:eastAsia="方正小标宋简体" w:cs="方正小标宋简体"/>
          <w:b/>
          <w:bCs/>
          <w:color w:val="000000"/>
          <w:sz w:val="44"/>
          <w:szCs w:val="44"/>
        </w:rPr>
        <w:t>汇总表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bCs/>
          <w:color w:val="000000"/>
          <w:sz w:val="32"/>
          <w:szCs w:val="32"/>
        </w:rPr>
      </w:pPr>
      <w:r>
        <w:rPr>
          <w:rFonts w:hint="eastAsia" w:ascii="仿宋_GB2312" w:hAnsi="宋体" w:eastAsia="仿宋_GB2312" w:cs="仿宋_GB2312"/>
          <w:i w:val="0"/>
          <w:color w:val="000000"/>
          <w:kern w:val="0"/>
          <w:sz w:val="32"/>
          <w:szCs w:val="32"/>
          <w:u w:val="none"/>
          <w:lang w:val="en-US" w:eastAsia="zh-CN" w:bidi="ar"/>
        </w:rPr>
        <w:t>单位盖章                                 填表人：          电话：</w:t>
      </w:r>
    </w:p>
    <w:tbl>
      <w:tblPr>
        <w:tblStyle w:val="6"/>
        <w:tblpPr w:leftFromText="181" w:rightFromText="181" w:vertAnchor="text" w:horzAnchor="margin" w:tblpX="1" w:tblpY="1"/>
        <w:tblOverlap w:val="never"/>
        <w:tblW w:w="13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50"/>
        <w:gridCol w:w="1680"/>
        <w:gridCol w:w="926"/>
        <w:gridCol w:w="1080"/>
        <w:gridCol w:w="724"/>
        <w:gridCol w:w="780"/>
        <w:gridCol w:w="1275"/>
        <w:gridCol w:w="1335"/>
        <w:gridCol w:w="1830"/>
        <w:gridCol w:w="1395"/>
        <w:gridCol w:w="1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所在单位及负责人</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 xml:space="preserve">培训类别          </w:t>
            </w:r>
            <w:r>
              <w:rPr>
                <w:rFonts w:hint="eastAsia" w:ascii="仿宋_GB2312" w:hAnsi="宋体" w:eastAsia="仿宋_GB2312" w:cs="仿宋_GB2312"/>
                <w:i w:val="0"/>
                <w:color w:val="000000"/>
                <w:kern w:val="0"/>
                <w:sz w:val="20"/>
                <w:szCs w:val="20"/>
                <w:u w:val="none"/>
                <w:lang w:val="en-US" w:eastAsia="zh-CN" w:bidi="ar"/>
              </w:rPr>
              <w:t>（1年期或2年期）</w:t>
            </w: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 xml:space="preserve">序号     </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姓名</w:t>
            </w: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性别</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年龄</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身份证号</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从事专业</w:t>
            </w: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 xml:space="preserve">医师类别        </w:t>
            </w:r>
            <w:r>
              <w:rPr>
                <w:rFonts w:hint="eastAsia" w:ascii="仿宋_GB2312" w:hAnsi="宋体" w:eastAsia="仿宋_GB2312" w:cs="仿宋_GB2312"/>
                <w:i w:val="0"/>
                <w:color w:val="000000"/>
                <w:kern w:val="0"/>
                <w:sz w:val="20"/>
                <w:szCs w:val="20"/>
                <w:u w:val="none"/>
                <w:lang w:val="en-US" w:eastAsia="zh-CN" w:bidi="ar"/>
              </w:rPr>
              <w:t>（执业医师或助理医师）</w:t>
            </w: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医师资格证号</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kern w:val="0"/>
                <w:sz w:val="24"/>
                <w:szCs w:val="24"/>
                <w:u w:val="none"/>
                <w:lang w:val="en-US" w:eastAsia="zh-CN" w:bidi="ar"/>
              </w:rPr>
            </w:pPr>
            <w:r>
              <w:rPr>
                <w:rFonts w:hint="eastAsia" w:ascii="楷体_GB2312" w:hAnsi="宋体" w:eastAsia="楷体_GB2312" w:cs="楷体_GB2312"/>
                <w:i w:val="0"/>
                <w:color w:val="000000"/>
                <w:kern w:val="0"/>
                <w:sz w:val="24"/>
                <w:szCs w:val="24"/>
                <w:u w:val="none"/>
                <w:lang w:val="en-US" w:eastAsia="zh-CN" w:bidi="ar"/>
              </w:rPr>
              <w:t>xx医院</w:t>
            </w:r>
          </w:p>
          <w:p>
            <w:pPr>
              <w:keepNext w:val="0"/>
              <w:keepLines w:val="0"/>
              <w:widowControl/>
              <w:suppressLineNumbers w:val="0"/>
              <w:jc w:val="center"/>
              <w:textAlignment w:val="center"/>
              <w:rPr>
                <w:rFonts w:hint="eastAsia" w:ascii="楷体_GB2312" w:hAnsi="宋体" w:eastAsia="楷体_GB2312" w:cs="楷体_GB2312"/>
                <w:i w:val="0"/>
                <w:color w:val="000000"/>
                <w:kern w:val="0"/>
                <w:sz w:val="24"/>
                <w:szCs w:val="24"/>
                <w:u w:val="none"/>
                <w:lang w:val="en-US" w:eastAsia="zh-CN" w:bidi="ar"/>
              </w:rPr>
            </w:pPr>
            <w:r>
              <w:rPr>
                <w:rFonts w:hint="eastAsia" w:ascii="楷体_GB2312" w:hAnsi="宋体" w:eastAsia="楷体_GB2312" w:cs="楷体_GB2312"/>
                <w:i w:val="0"/>
                <w:color w:val="000000"/>
                <w:kern w:val="0"/>
                <w:sz w:val="24"/>
                <w:szCs w:val="24"/>
                <w:u w:val="none"/>
                <w:lang w:val="en-US" w:eastAsia="zh-CN" w:bidi="ar"/>
              </w:rPr>
              <w:t>负责人：</w:t>
            </w:r>
          </w:p>
          <w:p>
            <w:pPr>
              <w:keepNext w:val="0"/>
              <w:keepLines w:val="0"/>
              <w:widowControl/>
              <w:suppressLineNumbers w:val="0"/>
              <w:jc w:val="center"/>
              <w:textAlignment w:val="center"/>
              <w:rPr>
                <w:rFonts w:hint="eastAsia" w:ascii="楷体_GB2312" w:hAnsi="宋体" w:eastAsia="楷体_GB2312" w:cs="楷体_GB2312"/>
                <w:i w:val="0"/>
                <w:color w:val="000000"/>
                <w:kern w:val="0"/>
                <w:sz w:val="24"/>
                <w:szCs w:val="24"/>
                <w:u w:val="none"/>
                <w:lang w:val="en-US" w:eastAsia="zh-CN" w:bidi="ar"/>
              </w:rPr>
            </w:pPr>
            <w:r>
              <w:rPr>
                <w:rFonts w:hint="eastAsia" w:ascii="楷体_GB2312" w:hAnsi="宋体" w:eastAsia="楷体_GB2312" w:cs="楷体_GB2312"/>
                <w:i w:val="0"/>
                <w:color w:val="000000"/>
                <w:kern w:val="0"/>
                <w:sz w:val="24"/>
                <w:szCs w:val="24"/>
                <w:u w:val="none"/>
                <w:lang w:val="en-US" w:eastAsia="zh-CN" w:bidi="ar"/>
              </w:rPr>
              <w:t>联系电话：</w:t>
            </w:r>
          </w:p>
        </w:tc>
        <w:tc>
          <w:tcPr>
            <w:tcW w:w="1680" w:type="dxa"/>
            <w:vMerge w:val="restart"/>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1年期</w:t>
            </w: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680"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680"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680"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2年期</w:t>
            </w: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68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68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楷体_GB2312" w:hAnsi="宋体" w:eastAsia="楷体_GB2312" w:cs="楷体_GB2312"/>
                <w:i w:val="0"/>
                <w:color w:val="000000"/>
                <w:sz w:val="24"/>
                <w:szCs w:val="24"/>
                <w:u w:val="none"/>
              </w:rPr>
            </w:pPr>
            <w:r>
              <w:rPr>
                <w:rFonts w:hint="eastAsia" w:ascii="楷体_GB2312" w:hAnsi="宋体" w:eastAsia="楷体_GB2312" w:cs="楷体_GB2312"/>
                <w:i w:val="0"/>
                <w:color w:val="000000"/>
                <w:kern w:val="0"/>
                <w:sz w:val="24"/>
                <w:szCs w:val="24"/>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_GB2312" w:hAnsi="宋体" w:eastAsia="楷体_GB2312" w:cs="楷体_GB2312"/>
                <w:i w:val="0"/>
                <w:color w:val="000000"/>
                <w:sz w:val="24"/>
                <w:szCs w:val="24"/>
                <w:u w:val="none"/>
              </w:rPr>
            </w:pP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楷体_GB2312" w:hAnsi="宋体" w:eastAsia="楷体_GB2312" w:cs="楷体_GB2312"/>
                <w:i w:val="0"/>
                <w:color w:val="000000"/>
                <w:sz w:val="24"/>
                <w:szCs w:val="24"/>
                <w:u w:val="none"/>
              </w:rPr>
            </w:pPr>
          </w:p>
        </w:tc>
      </w:tr>
    </w:tbl>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sectPr>
      <w:pgSz w:w="16838" w:h="11906" w:orient="landscape"/>
      <w:pgMar w:top="1587" w:right="2098" w:bottom="1474" w:left="1984" w:header="851" w:footer="992" w:gutter="0"/>
      <w:cols w:space="0" w:num="1"/>
      <w:rtlGutter w:val="0"/>
      <w:docGrid w:type="linesAndChars" w:linePitch="579" w:charSpace="-36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6424A62-2D76-4530-BFE8-C11EA82B281A}"/>
  </w:font>
  <w:font w:name="黑体">
    <w:panose1 w:val="02010609060101010101"/>
    <w:charset w:val="86"/>
    <w:family w:val="auto"/>
    <w:pitch w:val="default"/>
    <w:sig w:usb0="800002BF" w:usb1="38CF7CFA" w:usb2="00000016" w:usb3="00000000" w:csb0="00040001" w:csb1="00000000"/>
    <w:embedRegular r:id="rId2" w:fontKey="{593874BC-2DDB-4C39-9249-F16B07F91F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embedRegular r:id="rId3" w:fontKey="{9278B6F4-1919-4070-9F60-B7D57B4A0C37}"/>
  </w:font>
  <w:font w:name="方正小标宋简体">
    <w:panose1 w:val="02000000000000000000"/>
    <w:charset w:val="86"/>
    <w:family w:val="auto"/>
    <w:pitch w:val="default"/>
    <w:sig w:usb0="00000001" w:usb1="080E0000" w:usb2="00000000" w:usb3="00000000" w:csb0="00040000" w:csb1="00000000"/>
    <w:embedRegular r:id="rId4" w:fontKey="{70E92512-C7A8-4274-AFB4-86C6D0E7EFD2}"/>
  </w:font>
  <w:font w:name="仿宋_GB2312">
    <w:panose1 w:val="02010609030101010101"/>
    <w:charset w:val="86"/>
    <w:family w:val="auto"/>
    <w:pitch w:val="default"/>
    <w:sig w:usb0="00000001" w:usb1="080E0000" w:usb2="00000000" w:usb3="00000000" w:csb0="00040000" w:csb1="00000000"/>
    <w:embedRegular r:id="rId5" w:fontKey="{2C28BFBD-8328-450E-8BF5-99E1C415DFA5}"/>
  </w:font>
  <w:font w:name="楷体_GB2312">
    <w:panose1 w:val="02010609030101010101"/>
    <w:charset w:val="86"/>
    <w:family w:val="modern"/>
    <w:pitch w:val="default"/>
    <w:sig w:usb0="00000001" w:usb1="080E0000" w:usb2="00000000" w:usb3="00000000" w:csb0="00040000" w:csb1="00000000"/>
    <w:embedRegular r:id="rId6" w:fontKey="{D1B33090-DB8E-4C2C-B091-DE50F4D44AB5}"/>
  </w:font>
  <w:font w:name="Wingdings 2">
    <w:panose1 w:val="05020102010507070707"/>
    <w:charset w:val="00"/>
    <w:family w:val="auto"/>
    <w:pitch w:val="default"/>
    <w:sig w:usb0="00000000" w:usb1="00000000" w:usb2="00000000" w:usb3="00000000" w:csb0="80000000" w:csb1="00000000"/>
    <w:embedRegular r:id="rId7" w:fontKey="{69CE347F-D0D6-43D5-94CD-59BDCF83A11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t xml:space="preserve">— </w:t>
                          </w:r>
                          <w:r>
                            <w:fldChar w:fldCharType="begin"/>
                          </w:r>
                          <w:r>
                            <w:instrText xml:space="preserve"> PAGE  \* MERGEFORMAT </w:instrText>
                          </w:r>
                          <w:r>
                            <w:fldChar w:fldCharType="separate"/>
                          </w:r>
                          <w:r>
                            <w:t>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9</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96"/>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mNjQ5ZWFjNDk1ZTcwZjRmZGIzZGQxOTEwZDQ3MGIifQ=="/>
  </w:docVars>
  <w:rsids>
    <w:rsidRoot w:val="00000000"/>
    <w:rsid w:val="0E64341A"/>
    <w:rsid w:val="195E16BF"/>
    <w:rsid w:val="1D3C6603"/>
    <w:rsid w:val="29AA0E5E"/>
    <w:rsid w:val="45B81C87"/>
    <w:rsid w:val="55421D22"/>
    <w:rsid w:val="75867A54"/>
    <w:rsid w:val="790C1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after="12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font131"/>
    <w:basedOn w:val="7"/>
    <w:qFormat/>
    <w:uiPriority w:val="0"/>
    <w:rPr>
      <w:rFonts w:hint="eastAsia" w:ascii="Arial Unicode MS" w:hAnsi="Arial Unicode MS" w:eastAsia="Arial Unicode MS" w:cs="Arial Unicode MS"/>
      <w:color w:val="2D3131"/>
      <w:sz w:val="25"/>
      <w:szCs w:val="25"/>
      <w:u w:val="none"/>
    </w:rPr>
  </w:style>
  <w:style w:type="character" w:customStyle="1" w:styleId="10">
    <w:name w:val="font21"/>
    <w:basedOn w:val="7"/>
    <w:qFormat/>
    <w:uiPriority w:val="0"/>
    <w:rPr>
      <w:rFonts w:hint="eastAsia" w:ascii="宋体" w:hAnsi="宋体" w:eastAsia="宋体" w:cs="宋体"/>
      <w:color w:val="2D3131"/>
      <w:sz w:val="25"/>
      <w:szCs w:val="25"/>
      <w:u w:val="none"/>
    </w:rPr>
  </w:style>
  <w:style w:type="character" w:customStyle="1" w:styleId="11">
    <w:name w:val="font141"/>
    <w:basedOn w:val="7"/>
    <w:qFormat/>
    <w:uiPriority w:val="0"/>
    <w:rPr>
      <w:rFonts w:hint="default" w:ascii="Times New Roman" w:hAnsi="Times New Roman" w:cs="Times New Roman"/>
      <w:color w:val="2D3131"/>
      <w:sz w:val="25"/>
      <w:szCs w:val="25"/>
      <w:u w:val="none"/>
    </w:rPr>
  </w:style>
  <w:style w:type="character" w:customStyle="1" w:styleId="12">
    <w:name w:val="font01"/>
    <w:basedOn w:val="7"/>
    <w:qFormat/>
    <w:uiPriority w:val="0"/>
    <w:rPr>
      <w:rFonts w:hint="default" w:ascii="Times New Roman" w:hAnsi="Times New Roman" w:cs="Times New Roman"/>
      <w:color w:val="2D3131"/>
      <w:sz w:val="24"/>
      <w:szCs w:val="24"/>
      <w:u w:val="none"/>
    </w:rPr>
  </w:style>
  <w:style w:type="character" w:customStyle="1" w:styleId="13">
    <w:name w:val="font101"/>
    <w:basedOn w:val="7"/>
    <w:qFormat/>
    <w:uiPriority w:val="0"/>
    <w:rPr>
      <w:rFonts w:hint="eastAsia" w:ascii="Arial Unicode MS" w:hAnsi="Arial Unicode MS" w:eastAsia="Arial Unicode MS" w:cs="Arial Unicode MS"/>
      <w:color w:val="49494B"/>
      <w:sz w:val="23"/>
      <w:szCs w:val="23"/>
      <w:u w:val="none"/>
    </w:rPr>
  </w:style>
  <w:style w:type="character" w:customStyle="1" w:styleId="14">
    <w:name w:val="font91"/>
    <w:basedOn w:val="7"/>
    <w:qFormat/>
    <w:uiPriority w:val="0"/>
    <w:rPr>
      <w:rFonts w:hint="eastAsia" w:ascii="Arial Unicode MS" w:hAnsi="Arial Unicode MS" w:eastAsia="Arial Unicode MS" w:cs="Arial Unicode MS"/>
      <w:color w:val="2D3131"/>
      <w:sz w:val="23"/>
      <w:szCs w:val="23"/>
      <w:u w:val="none"/>
    </w:rPr>
  </w:style>
  <w:style w:type="paragraph" w:styleId="15">
    <w:name w:val="List Paragraph"/>
    <w:basedOn w:val="1"/>
    <w:qFormat/>
    <w:uiPriority w:val="1"/>
    <w:pPr>
      <w:ind w:firstLine="420" w:firstLineChars="200"/>
    </w:pPr>
  </w:style>
  <w:style w:type="paragraph" w:customStyle="1" w:styleId="16">
    <w:name w:val="Table Paragraph"/>
    <w:basedOn w:val="1"/>
    <w:qFormat/>
    <w:uiPriority w:val="1"/>
    <w:pPr>
      <w:autoSpaceDE w:val="0"/>
      <w:autoSpaceDN w:val="0"/>
      <w:jc w:val="left"/>
    </w:pPr>
    <w:rPr>
      <w:rFonts w:ascii="Arial Unicode MS" w:hAnsi="Arial Unicode MS" w:eastAsia="Arial Unicode MS" w:cs="Arial Unicode MS"/>
      <w:kern w:val="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3210</Words>
  <Characters>3336</Characters>
  <Lines>0</Lines>
  <Paragraphs>0</Paragraphs>
  <TotalTime>0</TotalTime>
  <ScaleCrop>false</ScaleCrop>
  <LinksUpToDate>false</LinksUpToDate>
  <CharactersWithSpaces>3418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2023-05-15T01:58:00Z</dcterms:created>
  <dc:creator>Administrator</dc:creator>
  <cp:lastModifiedBy>空格</cp:lastModifiedBy>
  <dcterms:modified xsi:type="dcterms:W3CDTF">2023-05-15T08:24:31Z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3D65238D93824339AADEA8A1893D6227_12</vt:lpwstr>
  </property>
</Properties>
</file>